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0FF7" w14:textId="7A5FF1D0" w:rsidR="006F0049" w:rsidRPr="009D5750" w:rsidRDefault="00E82721" w:rsidP="009D5750">
      <w:pPr>
        <w:pStyle w:val="ListParagraph"/>
        <w:numPr>
          <w:ilvl w:val="0"/>
          <w:numId w:val="4"/>
        </w:numPr>
        <w:rPr>
          <w:b/>
          <w:bCs/>
        </w:rPr>
      </w:pPr>
      <w:r w:rsidRPr="009D5750">
        <w:rPr>
          <w:b/>
          <w:bCs/>
        </w:rPr>
        <w:t>Product Selection Hyperlink.</w:t>
      </w:r>
    </w:p>
    <w:p w14:paraId="738864EE" w14:textId="0E795E8A" w:rsidR="00AA05D3" w:rsidRDefault="00AA05D3">
      <w:r w:rsidRPr="00AA05D3">
        <w:t>A new feature called "Hyperlink option" has been introduced to the product management screen. This feature enables you to add a URL that will be displayed in the application's product selection scree</w:t>
      </w:r>
      <w:r w:rsidR="00802CFA">
        <w:t>n.</w:t>
      </w:r>
    </w:p>
    <w:p w14:paraId="39BE7FE6" w14:textId="44184E80" w:rsidR="00E82721" w:rsidRDefault="00E82721">
      <w:r>
        <w:t xml:space="preserve"> </w:t>
      </w:r>
      <w:r w:rsidR="002D7AC2">
        <w:rPr>
          <w:noProof/>
        </w:rPr>
        <w:drawing>
          <wp:inline distT="0" distB="0" distL="0" distR="0" wp14:anchorId="0F413919" wp14:editId="4BF5CBE8">
            <wp:extent cx="4627214" cy="1790700"/>
            <wp:effectExtent l="19050" t="19050" r="21590" b="19050"/>
            <wp:docPr id="1880626993" name="Picture 1880626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2687" cy="1796688"/>
                    </a:xfrm>
                    <a:prstGeom prst="rect">
                      <a:avLst/>
                    </a:prstGeom>
                    <a:noFill/>
                    <a:ln>
                      <a:solidFill>
                        <a:schemeClr val="tx1"/>
                      </a:solidFill>
                    </a:ln>
                  </pic:spPr>
                </pic:pic>
              </a:graphicData>
            </a:graphic>
          </wp:inline>
        </w:drawing>
      </w:r>
    </w:p>
    <w:p w14:paraId="52C09264" w14:textId="77777777" w:rsidR="002D7AC2" w:rsidRDefault="002D7AC2" w:rsidP="002D7AC2"/>
    <w:p w14:paraId="51BEFFCE" w14:textId="6CB3C96F" w:rsidR="00C47460" w:rsidRDefault="00C47460" w:rsidP="002D7AC2">
      <w:r w:rsidRPr="00C47460">
        <w:t>An additional hyperlink has been incorporated beneath the "View" button, allowing users to access a webpage where they can view detailed information about the product.</w:t>
      </w:r>
    </w:p>
    <w:p w14:paraId="029DB165" w14:textId="6BC58B77" w:rsidR="00802CFA" w:rsidRDefault="00802CFA" w:rsidP="002D7AC2">
      <w:r>
        <w:t>The hyper link will display when multiple products are displayed.</w:t>
      </w:r>
    </w:p>
    <w:p w14:paraId="235F8B25" w14:textId="77777777" w:rsidR="00C47460" w:rsidRDefault="00C47460" w:rsidP="002D7AC2"/>
    <w:p w14:paraId="2752B5EB" w14:textId="40E424EB" w:rsidR="002D7AC2" w:rsidRDefault="002D7AC2" w:rsidP="002D7AC2">
      <w:r>
        <w:rPr>
          <w:noProof/>
        </w:rPr>
        <w:drawing>
          <wp:inline distT="0" distB="0" distL="0" distR="0" wp14:anchorId="633B691A" wp14:editId="59460B2C">
            <wp:extent cx="4705350" cy="3844138"/>
            <wp:effectExtent l="19050" t="19050" r="19050" b="23495"/>
            <wp:docPr id="2107466791" name="Picture 210746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6572" cy="3861476"/>
                    </a:xfrm>
                    <a:prstGeom prst="rect">
                      <a:avLst/>
                    </a:prstGeom>
                    <a:noFill/>
                    <a:ln>
                      <a:solidFill>
                        <a:schemeClr val="tx1"/>
                      </a:solidFill>
                    </a:ln>
                  </pic:spPr>
                </pic:pic>
              </a:graphicData>
            </a:graphic>
          </wp:inline>
        </w:drawing>
      </w:r>
    </w:p>
    <w:p w14:paraId="53F5B750" w14:textId="77777777" w:rsidR="002D7AC2" w:rsidRDefault="002D7AC2"/>
    <w:p w14:paraId="037B11C5" w14:textId="77777777" w:rsidR="00694FB2" w:rsidRDefault="00694FB2">
      <w:pPr>
        <w:rPr>
          <w:b/>
          <w:bCs/>
        </w:rPr>
      </w:pPr>
    </w:p>
    <w:p w14:paraId="722903A6" w14:textId="77777777" w:rsidR="00694FB2" w:rsidRDefault="00694FB2">
      <w:pPr>
        <w:rPr>
          <w:b/>
          <w:bCs/>
        </w:rPr>
      </w:pPr>
    </w:p>
    <w:p w14:paraId="0E46FDA1" w14:textId="265E56F7" w:rsidR="00694FB2" w:rsidRPr="009D5750" w:rsidRDefault="00694FB2" w:rsidP="009D5750">
      <w:pPr>
        <w:pStyle w:val="ListParagraph"/>
        <w:numPr>
          <w:ilvl w:val="0"/>
          <w:numId w:val="4"/>
        </w:numPr>
        <w:rPr>
          <w:b/>
          <w:bCs/>
        </w:rPr>
      </w:pPr>
      <w:r w:rsidRPr="009D5750">
        <w:rPr>
          <w:b/>
          <w:bCs/>
        </w:rPr>
        <w:lastRenderedPageBreak/>
        <w:t>Product Selection via Merchant Portal</w:t>
      </w:r>
    </w:p>
    <w:p w14:paraId="338C3B19" w14:textId="77777777" w:rsidR="00983323" w:rsidRDefault="00983323">
      <w:r w:rsidRPr="00983323">
        <w:t>Now, users have the capability to select all products listed under a specific product category in the application's "Product" tab.</w:t>
      </w:r>
    </w:p>
    <w:p w14:paraId="3DD11F73" w14:textId="7726EFA4" w:rsidR="00983323" w:rsidRDefault="00983323">
      <w:r w:rsidRPr="00983323">
        <w:t>This feature proves beneficial in cases where customers or merchants find another product more suitable for their needs compared to the one, they initially applied for. With this functionality, they can easily switch to the preferred product.</w:t>
      </w:r>
    </w:p>
    <w:p w14:paraId="3C5E9C56" w14:textId="01FC430B" w:rsidR="00FF149B" w:rsidRDefault="00B33923">
      <w:r>
        <w:rPr>
          <w:noProof/>
        </w:rPr>
        <w:drawing>
          <wp:inline distT="0" distB="0" distL="0" distR="0" wp14:anchorId="140875DD" wp14:editId="2D1A8405">
            <wp:extent cx="4085400" cy="2358390"/>
            <wp:effectExtent l="19050" t="19050" r="10795" b="22860"/>
            <wp:docPr id="1414502593" name="Picture 1414502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97461" cy="2365353"/>
                    </a:xfrm>
                    <a:prstGeom prst="rect">
                      <a:avLst/>
                    </a:prstGeom>
                    <a:noFill/>
                    <a:ln>
                      <a:solidFill>
                        <a:schemeClr val="tx1"/>
                      </a:solidFill>
                    </a:ln>
                  </pic:spPr>
                </pic:pic>
              </a:graphicData>
            </a:graphic>
          </wp:inline>
        </w:drawing>
      </w:r>
    </w:p>
    <w:p w14:paraId="2A58E04F" w14:textId="77777777" w:rsidR="00983323" w:rsidRDefault="00983323"/>
    <w:p w14:paraId="213533ED" w14:textId="3F262850" w:rsidR="00847565" w:rsidRPr="009D5750" w:rsidRDefault="00847565" w:rsidP="009D5750">
      <w:pPr>
        <w:pStyle w:val="ListParagraph"/>
        <w:numPr>
          <w:ilvl w:val="0"/>
          <w:numId w:val="4"/>
        </w:numPr>
        <w:rPr>
          <w:b/>
          <w:bCs/>
        </w:rPr>
      </w:pPr>
      <w:r w:rsidRPr="009D5750">
        <w:rPr>
          <w:b/>
          <w:bCs/>
        </w:rPr>
        <w:t>Loan Vehicle Categorisation: Age-based Identifier for New/Used/Unsecured Vehicles</w:t>
      </w:r>
    </w:p>
    <w:p w14:paraId="0E25F7E6" w14:textId="1802098D" w:rsidR="00347249" w:rsidRDefault="00347249" w:rsidP="00347249">
      <w:r>
        <w:t xml:space="preserve">The Loan Vehicle category now offers merchants the option to enter an identifier that specifies whether the vehicle is new, used, or unsecured. </w:t>
      </w:r>
    </w:p>
    <w:p w14:paraId="68CAC66B" w14:textId="53A836D1" w:rsidR="00347249" w:rsidRDefault="00347249" w:rsidP="00347249">
      <w:r>
        <w:t xml:space="preserve">To achieve this, we have introduced a new feature in the product management screen. Within this feature, merchants can input the minimum and maximum age range of the vehicle. </w:t>
      </w:r>
    </w:p>
    <w:p w14:paraId="78B46CD0" w14:textId="7CD4A299" w:rsidR="00347249" w:rsidRDefault="00347249" w:rsidP="00347249">
      <w:r>
        <w:t xml:space="preserve">Nimo will then compare these details with the vehicle's manufacture/build date inputted in the application form and appropriately display the associated product in the product selection screen. </w:t>
      </w:r>
    </w:p>
    <w:p w14:paraId="77305C8A" w14:textId="5286E06C" w:rsidR="00A11C94" w:rsidRDefault="00347249" w:rsidP="00347249">
      <w:r>
        <w:t>This enhancement allows for better categorisation and selection of loan products based on the vehicle's age, making it easier for merchants to offer suitable loan options to their customers.</w:t>
      </w:r>
    </w:p>
    <w:p w14:paraId="4479C117" w14:textId="77777777" w:rsidR="00A11C94" w:rsidRDefault="00A11C94" w:rsidP="00347249"/>
    <w:p w14:paraId="6404CB8A" w14:textId="412996B0" w:rsidR="00B76D5E" w:rsidRDefault="00B76D5E" w:rsidP="00347249">
      <w:r>
        <w:rPr>
          <w:noProof/>
        </w:rPr>
        <w:drawing>
          <wp:inline distT="0" distB="0" distL="0" distR="0" wp14:anchorId="7F39E979" wp14:editId="4AE7355F">
            <wp:extent cx="5727700" cy="1455420"/>
            <wp:effectExtent l="19050" t="19050" r="25400" b="11430"/>
            <wp:docPr id="407785439" name="Picture 40778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7700" cy="1455420"/>
                    </a:xfrm>
                    <a:prstGeom prst="rect">
                      <a:avLst/>
                    </a:prstGeom>
                    <a:noFill/>
                    <a:ln>
                      <a:solidFill>
                        <a:schemeClr val="tx1"/>
                      </a:solidFill>
                    </a:ln>
                  </pic:spPr>
                </pic:pic>
              </a:graphicData>
            </a:graphic>
          </wp:inline>
        </w:drawing>
      </w:r>
    </w:p>
    <w:p w14:paraId="5341B0CA" w14:textId="77777777" w:rsidR="002901CB" w:rsidRDefault="002901CB" w:rsidP="00347249"/>
    <w:p w14:paraId="50061FB0" w14:textId="77777777" w:rsidR="009D5750" w:rsidRDefault="009D5750" w:rsidP="00347249">
      <w:pPr>
        <w:rPr>
          <w:b/>
          <w:bCs/>
        </w:rPr>
      </w:pPr>
    </w:p>
    <w:p w14:paraId="445E1DCE" w14:textId="77777777" w:rsidR="009D5750" w:rsidRDefault="009D5750" w:rsidP="00347249">
      <w:pPr>
        <w:rPr>
          <w:b/>
          <w:bCs/>
        </w:rPr>
      </w:pPr>
    </w:p>
    <w:p w14:paraId="0CCE6212" w14:textId="3D67A63F" w:rsidR="002901CB" w:rsidRDefault="002901CB" w:rsidP="009D5750">
      <w:pPr>
        <w:pStyle w:val="ListParagraph"/>
        <w:numPr>
          <w:ilvl w:val="0"/>
          <w:numId w:val="4"/>
        </w:numPr>
        <w:rPr>
          <w:b/>
          <w:bCs/>
        </w:rPr>
      </w:pPr>
      <w:r w:rsidRPr="009D5750">
        <w:rPr>
          <w:b/>
          <w:bCs/>
        </w:rPr>
        <w:lastRenderedPageBreak/>
        <w:t>Conditional Approval</w:t>
      </w:r>
      <w:r w:rsidR="00875F41" w:rsidRPr="009D5750">
        <w:rPr>
          <w:b/>
          <w:bCs/>
        </w:rPr>
        <w:t>s</w:t>
      </w:r>
    </w:p>
    <w:p w14:paraId="65165CE9" w14:textId="77777777" w:rsidR="001E28C1" w:rsidRPr="009D5750" w:rsidRDefault="001E28C1" w:rsidP="001E28C1">
      <w:pPr>
        <w:pStyle w:val="ListParagraph"/>
        <w:rPr>
          <w:b/>
          <w:bCs/>
        </w:rPr>
      </w:pPr>
    </w:p>
    <w:p w14:paraId="1ED15DF8" w14:textId="1DF6B37D" w:rsidR="008E62E1" w:rsidRPr="00551952" w:rsidRDefault="008E62E1" w:rsidP="008E62E1">
      <w:pPr>
        <w:rPr>
          <w:b/>
          <w:bCs/>
          <w:u w:val="single"/>
          <w:lang w:eastAsia="en-AU"/>
          <w14:ligatures w14:val="none"/>
        </w:rPr>
      </w:pPr>
      <w:r>
        <w:rPr>
          <w:b/>
          <w:bCs/>
          <w:u w:val="single"/>
          <w:lang w:eastAsia="en-AU"/>
          <w14:ligatures w14:val="none"/>
        </w:rPr>
        <w:t>Setup</w:t>
      </w:r>
    </w:p>
    <w:p w14:paraId="610EA4D8" w14:textId="26757CDC" w:rsidR="008E62E1" w:rsidRDefault="008E62E1" w:rsidP="008E62E1">
      <w:pPr>
        <w:pStyle w:val="ListParagraph"/>
        <w:numPr>
          <w:ilvl w:val="0"/>
          <w:numId w:val="1"/>
        </w:numPr>
        <w:rPr>
          <w:rFonts w:eastAsia="Times New Roman"/>
          <w:lang w:eastAsia="en-AU"/>
          <w14:ligatures w14:val="none"/>
        </w:rPr>
      </w:pPr>
      <w:r>
        <w:rPr>
          <w:rFonts w:eastAsia="Times New Roman"/>
          <w:lang w:eastAsia="en-AU"/>
          <w14:ligatures w14:val="none"/>
        </w:rPr>
        <w:t xml:space="preserve">Send your conditional approval letter template to NIMO for parameter updates. </w:t>
      </w:r>
    </w:p>
    <w:p w14:paraId="09D6E3B0" w14:textId="5D156A83" w:rsidR="008E62E1" w:rsidRDefault="008E62E1" w:rsidP="008E62E1">
      <w:pPr>
        <w:pStyle w:val="ListParagraph"/>
        <w:numPr>
          <w:ilvl w:val="0"/>
          <w:numId w:val="1"/>
        </w:numPr>
        <w:rPr>
          <w:rFonts w:eastAsia="Times New Roman"/>
          <w:lang w:eastAsia="en-AU"/>
          <w14:ligatures w14:val="none"/>
        </w:rPr>
      </w:pPr>
      <w:r>
        <w:rPr>
          <w:rFonts w:eastAsia="Times New Roman"/>
          <w:lang w:eastAsia="en-AU"/>
          <w14:ligatures w14:val="none"/>
        </w:rPr>
        <w:t>NIMO will then provide you with a template for future reference and upload it to their system</w:t>
      </w:r>
      <w:r w:rsidR="009565C7">
        <w:rPr>
          <w:rFonts w:eastAsia="Times New Roman"/>
          <w:lang w:eastAsia="en-AU"/>
          <w14:ligatures w14:val="none"/>
        </w:rPr>
        <w:t>.</w:t>
      </w:r>
    </w:p>
    <w:p w14:paraId="13E99C06" w14:textId="77777777" w:rsidR="008E62E1" w:rsidRDefault="008E62E1" w:rsidP="008E62E1">
      <w:pPr>
        <w:rPr>
          <w:lang w:eastAsia="en-AU"/>
          <w14:ligatures w14:val="none"/>
        </w:rPr>
      </w:pPr>
    </w:p>
    <w:p w14:paraId="751BB067" w14:textId="0BAAF822" w:rsidR="008E62E1" w:rsidRDefault="008E62E1" w:rsidP="008E62E1">
      <w:pPr>
        <w:rPr>
          <w:lang w:eastAsia="en-AU"/>
          <w14:ligatures w14:val="none"/>
        </w:rPr>
      </w:pPr>
      <w:r>
        <w:rPr>
          <w:lang w:eastAsia="en-AU"/>
          <w14:ligatures w14:val="none"/>
        </w:rPr>
        <w:t>Enable Conditional Approvals:</w:t>
      </w:r>
    </w:p>
    <w:p w14:paraId="424B5F52" w14:textId="466DA642" w:rsidR="008E62E1" w:rsidRDefault="008E62E1" w:rsidP="008E62E1">
      <w:pPr>
        <w:pStyle w:val="ListParagraph"/>
        <w:numPr>
          <w:ilvl w:val="0"/>
          <w:numId w:val="2"/>
        </w:numPr>
        <w:rPr>
          <w:rFonts w:eastAsia="Times New Roman"/>
          <w:lang w:eastAsia="en-AU"/>
          <w14:ligatures w14:val="none"/>
        </w:rPr>
      </w:pPr>
      <w:r>
        <w:rPr>
          <w:rFonts w:eastAsia="Times New Roman"/>
          <w:lang w:eastAsia="en-AU"/>
          <w14:ligatures w14:val="none"/>
        </w:rPr>
        <w:t>Go to the management layer</w:t>
      </w:r>
      <w:r w:rsidR="0070199F">
        <w:rPr>
          <w:rFonts w:eastAsia="Times New Roman"/>
          <w:lang w:eastAsia="en-AU"/>
          <w14:ligatures w14:val="none"/>
        </w:rPr>
        <w:t>.</w:t>
      </w:r>
    </w:p>
    <w:p w14:paraId="6094A906" w14:textId="77777777" w:rsidR="008E62E1" w:rsidRDefault="008E62E1" w:rsidP="008E62E1">
      <w:pPr>
        <w:pStyle w:val="ListParagraph"/>
        <w:numPr>
          <w:ilvl w:val="0"/>
          <w:numId w:val="2"/>
        </w:numPr>
        <w:rPr>
          <w:rFonts w:eastAsia="Times New Roman"/>
          <w:lang w:eastAsia="en-AU"/>
          <w14:ligatures w14:val="none"/>
        </w:rPr>
      </w:pPr>
      <w:r>
        <w:rPr>
          <w:rFonts w:eastAsia="Times New Roman"/>
          <w:lang w:eastAsia="en-AU"/>
          <w14:ligatures w14:val="none"/>
        </w:rPr>
        <w:t>Navigate to the "Product" tab and select the desired product.</w:t>
      </w:r>
    </w:p>
    <w:p w14:paraId="42253C06" w14:textId="77777777" w:rsidR="008E62E1" w:rsidRDefault="008E62E1" w:rsidP="008E62E1">
      <w:pPr>
        <w:pStyle w:val="ListParagraph"/>
        <w:numPr>
          <w:ilvl w:val="0"/>
          <w:numId w:val="2"/>
        </w:numPr>
        <w:rPr>
          <w:rFonts w:eastAsia="Times New Roman"/>
          <w:lang w:eastAsia="en-AU"/>
          <w14:ligatures w14:val="none"/>
        </w:rPr>
      </w:pPr>
      <w:r>
        <w:rPr>
          <w:rFonts w:eastAsia="Times New Roman"/>
          <w:lang w:eastAsia="en-AU"/>
          <w14:ligatures w14:val="none"/>
        </w:rPr>
        <w:t>Activate “conditional approval” by selecting “YES”.</w:t>
      </w:r>
    </w:p>
    <w:p w14:paraId="297C7AC9" w14:textId="77777777" w:rsidR="008E62E1" w:rsidRDefault="008E62E1" w:rsidP="008E62E1">
      <w:pPr>
        <w:pStyle w:val="ListParagraph"/>
        <w:numPr>
          <w:ilvl w:val="0"/>
          <w:numId w:val="2"/>
        </w:numPr>
        <w:rPr>
          <w:rFonts w:eastAsia="Times New Roman"/>
          <w:lang w:eastAsia="en-AU"/>
          <w14:ligatures w14:val="none"/>
        </w:rPr>
      </w:pPr>
      <w:r>
        <w:rPr>
          <w:rFonts w:eastAsia="Times New Roman"/>
          <w:lang w:eastAsia="en-AU"/>
          <w14:ligatures w14:val="none"/>
        </w:rPr>
        <w:t>Upload the Conditional Approval Letter Template</w:t>
      </w:r>
    </w:p>
    <w:p w14:paraId="277F4B3C" w14:textId="77777777" w:rsidR="008E62E1" w:rsidRDefault="008E62E1" w:rsidP="008E62E1"/>
    <w:p w14:paraId="59760AF2" w14:textId="01C1D6C7" w:rsidR="008E62E1" w:rsidRDefault="008E62E1" w:rsidP="008E62E1">
      <w:r>
        <w:rPr>
          <w:noProof/>
          <w14:ligatures w14:val="none"/>
        </w:rPr>
        <w:drawing>
          <wp:inline distT="0" distB="0" distL="0" distR="0" wp14:anchorId="25D6EA65" wp14:editId="6F1B34B4">
            <wp:extent cx="3752850" cy="877570"/>
            <wp:effectExtent l="0" t="0" r="0" b="17780"/>
            <wp:docPr id="224737464" name="Picture 22473746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737464" name="Picture 6" descr="A screenshot of a computer&#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752850" cy="877570"/>
                    </a:xfrm>
                    <a:prstGeom prst="rect">
                      <a:avLst/>
                    </a:prstGeom>
                    <a:noFill/>
                    <a:ln>
                      <a:noFill/>
                    </a:ln>
                  </pic:spPr>
                </pic:pic>
              </a:graphicData>
            </a:graphic>
          </wp:inline>
        </w:drawing>
      </w:r>
    </w:p>
    <w:p w14:paraId="208ED110" w14:textId="77777777" w:rsidR="008E62E1" w:rsidRDefault="008E62E1" w:rsidP="008E62E1"/>
    <w:p w14:paraId="21F722EA" w14:textId="77777777" w:rsidR="008E62E1" w:rsidRDefault="008E62E1" w:rsidP="008E62E1">
      <w:r>
        <w:t>To ensure that customers receive email or SMS notifications when their loan has been conditionally approved, please navigate to the Company Settings layer, select the "Communication tab," then click on "Application Conditionally Approved Notification." Fill out the required details and customise the content accordingly.</w:t>
      </w:r>
    </w:p>
    <w:p w14:paraId="21032528" w14:textId="77777777" w:rsidR="008E62E1" w:rsidRDefault="008E62E1" w:rsidP="008E62E1"/>
    <w:p w14:paraId="10B52136" w14:textId="6AE4535A" w:rsidR="008E62E1" w:rsidRDefault="008E62E1" w:rsidP="008E62E1">
      <w:r>
        <w:rPr>
          <w:noProof/>
          <w14:ligatures w14:val="none"/>
        </w:rPr>
        <w:drawing>
          <wp:inline distT="0" distB="0" distL="0" distR="0" wp14:anchorId="40EAF8D6" wp14:editId="7C47D5DC">
            <wp:extent cx="3248025" cy="3248025"/>
            <wp:effectExtent l="0" t="0" r="9525" b="9525"/>
            <wp:docPr id="1558314994" name="Picture 155831499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314994" name="Picture 5" descr="A screenshot of a computer screen&#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14:paraId="15CFEAC2" w14:textId="77777777" w:rsidR="00D54054" w:rsidRDefault="00D54054" w:rsidP="008E62E1">
      <w:pPr>
        <w:rPr>
          <w:i/>
          <w:iCs/>
        </w:rPr>
      </w:pPr>
    </w:p>
    <w:p w14:paraId="20F371F1" w14:textId="0211AB6A" w:rsidR="00D54054" w:rsidRPr="001E28C1" w:rsidRDefault="008E62E1" w:rsidP="001E28C1">
      <w:pPr>
        <w:rPr>
          <w:b/>
          <w:bCs/>
        </w:rPr>
      </w:pPr>
      <w:r w:rsidRPr="001E28C1">
        <w:rPr>
          <w:b/>
          <w:bCs/>
        </w:rPr>
        <w:lastRenderedPageBreak/>
        <w:t>Merchant Portal</w:t>
      </w:r>
    </w:p>
    <w:p w14:paraId="1D4CB09D" w14:textId="751E5B9E" w:rsidR="008E62E1" w:rsidRDefault="008E62E1" w:rsidP="008E62E1">
      <w:r>
        <w:t>By clicking the "Conditional Approve" button, you will be redirected to the conditional tab. From there, you can choose conditions to add from the dropdown menu or manually enter your own condition. There will be three category options available for you to choose from.</w:t>
      </w:r>
    </w:p>
    <w:p w14:paraId="222039E0" w14:textId="77777777" w:rsidR="008E62E1" w:rsidRDefault="008E62E1" w:rsidP="008E62E1">
      <w:r>
        <w:t>You will have 3 options as a category.</w:t>
      </w:r>
    </w:p>
    <w:p w14:paraId="4958FAC0" w14:textId="77777777" w:rsidR="008E62E1" w:rsidRDefault="008E62E1" w:rsidP="008E62E1"/>
    <w:p w14:paraId="75987050" w14:textId="77777777" w:rsidR="008E62E1" w:rsidRDefault="008E62E1" w:rsidP="008E62E1">
      <w:pPr>
        <w:pStyle w:val="ListParagraph"/>
        <w:numPr>
          <w:ilvl w:val="0"/>
          <w:numId w:val="3"/>
        </w:numPr>
        <w:rPr>
          <w:rFonts w:eastAsia="Times New Roman"/>
          <w:lang w:eastAsia="en-AU"/>
          <w14:ligatures w14:val="none"/>
        </w:rPr>
      </w:pPr>
      <w:r>
        <w:rPr>
          <w:rFonts w:eastAsia="Times New Roman"/>
          <w:color w:val="002060"/>
          <w:lang w:eastAsia="en-AU"/>
          <w14:ligatures w14:val="none"/>
        </w:rPr>
        <w:t>Upload</w:t>
      </w:r>
      <w:r>
        <w:rPr>
          <w:rFonts w:eastAsia="Times New Roman"/>
          <w:lang w:eastAsia="en-AU"/>
          <w14:ligatures w14:val="none"/>
        </w:rPr>
        <w:t>: This option allows customers to view the condition within their customer portal and upload the required documents.</w:t>
      </w:r>
    </w:p>
    <w:p w14:paraId="7419A1B9" w14:textId="77777777" w:rsidR="008E62E1" w:rsidRDefault="008E62E1" w:rsidP="008E62E1">
      <w:pPr>
        <w:pStyle w:val="ListParagraph"/>
        <w:numPr>
          <w:ilvl w:val="0"/>
          <w:numId w:val="3"/>
        </w:numPr>
        <w:rPr>
          <w:rFonts w:eastAsia="Times New Roman"/>
          <w:lang w:eastAsia="en-AU"/>
          <w14:ligatures w14:val="none"/>
        </w:rPr>
      </w:pPr>
      <w:r>
        <w:rPr>
          <w:rFonts w:eastAsia="Times New Roman"/>
          <w:color w:val="002060"/>
          <w:lang w:eastAsia="en-AU"/>
          <w14:ligatures w14:val="none"/>
        </w:rPr>
        <w:t>Staff</w:t>
      </w:r>
      <w:r>
        <w:rPr>
          <w:rFonts w:eastAsia="Times New Roman"/>
          <w:lang w:eastAsia="en-AU"/>
          <w14:ligatures w14:val="none"/>
        </w:rPr>
        <w:t>: Customers will not see this condition, and it is the responsibility of the staff member to upload the necessary documents.</w:t>
      </w:r>
    </w:p>
    <w:p w14:paraId="165E2F5E" w14:textId="77777777" w:rsidR="008E62E1" w:rsidRDefault="008E62E1" w:rsidP="008E62E1">
      <w:pPr>
        <w:pStyle w:val="ListParagraph"/>
        <w:numPr>
          <w:ilvl w:val="0"/>
          <w:numId w:val="3"/>
        </w:numPr>
        <w:rPr>
          <w:rFonts w:eastAsia="Times New Roman"/>
          <w:lang w:eastAsia="en-AU"/>
          <w14:ligatures w14:val="none"/>
        </w:rPr>
      </w:pPr>
      <w:r>
        <w:rPr>
          <w:rFonts w:eastAsia="Times New Roman"/>
          <w:color w:val="002060"/>
          <w:lang w:eastAsia="en-AU"/>
          <w14:ligatures w14:val="none"/>
        </w:rPr>
        <w:t>Info</w:t>
      </w:r>
      <w:r>
        <w:rPr>
          <w:rFonts w:eastAsia="Times New Roman"/>
          <w:lang w:eastAsia="en-AU"/>
          <w14:ligatures w14:val="none"/>
        </w:rPr>
        <w:t>: Customers can view these conditions as informational, providing them with additional information.</w:t>
      </w:r>
    </w:p>
    <w:p w14:paraId="1B77C877" w14:textId="77777777" w:rsidR="008E62E1" w:rsidRDefault="008E62E1" w:rsidP="008E62E1">
      <w:pPr>
        <w:rPr>
          <w:lang w:eastAsia="en-AU"/>
          <w14:ligatures w14:val="none"/>
        </w:rPr>
      </w:pPr>
    </w:p>
    <w:p w14:paraId="390034F0" w14:textId="78956EEA" w:rsidR="008E62E1" w:rsidRDefault="008E62E1" w:rsidP="008E62E1">
      <w:pPr>
        <w:rPr>
          <w:lang w:eastAsia="en-AU"/>
          <w14:ligatures w14:val="none"/>
        </w:rPr>
      </w:pPr>
      <w:r>
        <w:rPr>
          <w:lang w:eastAsia="en-AU"/>
          <w14:ligatures w14:val="none"/>
        </w:rPr>
        <w:t>After adding the conditions, please click the "Save" button located at the bottom of the screen. This action will redirect you to the application layer and the conditional tab, where you can view the added conditions and download the conditional approval letter.</w:t>
      </w:r>
    </w:p>
    <w:p w14:paraId="0511B90E" w14:textId="7C14F365" w:rsidR="009F64A3" w:rsidRDefault="008E62E1" w:rsidP="00347249">
      <w:pPr>
        <w:rPr>
          <w:lang w:eastAsia="en-AU"/>
          <w14:ligatures w14:val="none"/>
        </w:rPr>
      </w:pPr>
      <w:r>
        <w:rPr>
          <w:lang w:eastAsia="en-AU"/>
          <w14:ligatures w14:val="none"/>
        </w:rPr>
        <w:t>To enable customers to upload their documents, navigate to the assessment layer, then, click on the "Notify Customer" button.</w:t>
      </w:r>
    </w:p>
    <w:p w14:paraId="2EE6B23A" w14:textId="77777777" w:rsidR="00D54054" w:rsidRDefault="00D54054" w:rsidP="00347249">
      <w:pPr>
        <w:rPr>
          <w:lang w:eastAsia="en-AU"/>
          <w14:ligatures w14:val="none"/>
        </w:rPr>
      </w:pPr>
    </w:p>
    <w:p w14:paraId="5BF89535" w14:textId="1DCF9FCE" w:rsidR="000C364B" w:rsidRPr="009D5750" w:rsidRDefault="000C364B" w:rsidP="009D5750">
      <w:pPr>
        <w:pStyle w:val="ListParagraph"/>
        <w:numPr>
          <w:ilvl w:val="0"/>
          <w:numId w:val="2"/>
        </w:numPr>
        <w:rPr>
          <w:b/>
          <w:bCs/>
        </w:rPr>
      </w:pPr>
      <w:r w:rsidRPr="009D5750">
        <w:rPr>
          <w:b/>
          <w:bCs/>
        </w:rPr>
        <w:t>Product Tab Change Log.</w:t>
      </w:r>
    </w:p>
    <w:p w14:paraId="102F1E43" w14:textId="77777777" w:rsidR="002C2CD9" w:rsidRDefault="002C2CD9" w:rsidP="00347249">
      <w:r w:rsidRPr="002C2CD9">
        <w:t xml:space="preserve">A change log has been implemented on the right-hand side, </w:t>
      </w:r>
      <w:proofErr w:type="gramStart"/>
      <w:r w:rsidRPr="002C2CD9">
        <w:t>similar to</w:t>
      </w:r>
      <w:proofErr w:type="gramEnd"/>
      <w:r w:rsidRPr="002C2CD9">
        <w:t xml:space="preserve"> the change log on the applicant tab. This change log will keep a record of any modifications or updates made to the product tab, allowing users to track and review the changes over time.</w:t>
      </w:r>
    </w:p>
    <w:p w14:paraId="5E51B690" w14:textId="2A656DB9" w:rsidR="00321DD9" w:rsidRDefault="00321DD9" w:rsidP="00347249">
      <w:r>
        <w:rPr>
          <w:noProof/>
        </w:rPr>
        <w:drawing>
          <wp:inline distT="0" distB="0" distL="0" distR="0" wp14:anchorId="14030768" wp14:editId="6E0CB460">
            <wp:extent cx="5704661" cy="1597610"/>
            <wp:effectExtent l="19050" t="19050" r="10795" b="22225"/>
            <wp:docPr id="917627273" name="Picture 917627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8963" cy="1612818"/>
                    </a:xfrm>
                    <a:prstGeom prst="rect">
                      <a:avLst/>
                    </a:prstGeom>
                    <a:noFill/>
                    <a:ln>
                      <a:solidFill>
                        <a:schemeClr val="tx1"/>
                      </a:solidFill>
                    </a:ln>
                  </pic:spPr>
                </pic:pic>
              </a:graphicData>
            </a:graphic>
          </wp:inline>
        </w:drawing>
      </w:r>
    </w:p>
    <w:p w14:paraId="0EAC4C83" w14:textId="77777777" w:rsidR="00524931" w:rsidRDefault="00524931" w:rsidP="00347249"/>
    <w:p w14:paraId="226A8DCA" w14:textId="77777777" w:rsidR="009D5750" w:rsidRDefault="009D5750" w:rsidP="00347249"/>
    <w:p w14:paraId="4004D7F2" w14:textId="77777777" w:rsidR="009D5750" w:rsidRDefault="009D5750" w:rsidP="00347249"/>
    <w:p w14:paraId="032534D4" w14:textId="77777777" w:rsidR="009D5750" w:rsidRDefault="009D5750" w:rsidP="00347249"/>
    <w:p w14:paraId="4E5DEEB5" w14:textId="77777777" w:rsidR="009D5750" w:rsidRDefault="009D5750" w:rsidP="00347249"/>
    <w:p w14:paraId="5B98FA6E" w14:textId="77777777" w:rsidR="009D5750" w:rsidRDefault="009D5750" w:rsidP="00347249"/>
    <w:p w14:paraId="33EB74F2" w14:textId="77777777" w:rsidR="009D5750" w:rsidRDefault="009D5750" w:rsidP="00347249"/>
    <w:p w14:paraId="66732D17" w14:textId="77777777" w:rsidR="009D5750" w:rsidRDefault="009D5750" w:rsidP="00347249"/>
    <w:p w14:paraId="213F9C35" w14:textId="33E41214" w:rsidR="00524931" w:rsidRPr="009D5750" w:rsidRDefault="00524931" w:rsidP="009D5750">
      <w:pPr>
        <w:pStyle w:val="ListParagraph"/>
        <w:numPr>
          <w:ilvl w:val="0"/>
          <w:numId w:val="2"/>
        </w:numPr>
        <w:rPr>
          <w:b/>
          <w:bCs/>
        </w:rPr>
      </w:pPr>
      <w:r w:rsidRPr="009D5750">
        <w:rPr>
          <w:b/>
          <w:bCs/>
        </w:rPr>
        <w:t>Income Employment</w:t>
      </w:r>
      <w:r w:rsidR="002C07A1" w:rsidRPr="009D5750">
        <w:rPr>
          <w:b/>
          <w:bCs/>
        </w:rPr>
        <w:t>- customer name display</w:t>
      </w:r>
    </w:p>
    <w:p w14:paraId="1933C0B0" w14:textId="77777777" w:rsidR="00616A32" w:rsidRDefault="00616A32" w:rsidP="00347249">
      <w:r w:rsidRPr="00616A32">
        <w:t>The applicant's name will now be displayed alongside their income.</w:t>
      </w:r>
    </w:p>
    <w:p w14:paraId="1FF27DA6" w14:textId="18EB62A3" w:rsidR="00524931" w:rsidRDefault="001E3518" w:rsidP="00347249">
      <w:r>
        <w:rPr>
          <w:noProof/>
        </w:rPr>
        <w:drawing>
          <wp:inline distT="0" distB="0" distL="0" distR="0" wp14:anchorId="5070A6A9" wp14:editId="5B629656">
            <wp:extent cx="5467350" cy="2890664"/>
            <wp:effectExtent l="19050" t="19050" r="19050" b="24130"/>
            <wp:docPr id="599633614" name="Picture 599633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70724" cy="2892448"/>
                    </a:xfrm>
                    <a:prstGeom prst="rect">
                      <a:avLst/>
                    </a:prstGeom>
                    <a:noFill/>
                    <a:ln>
                      <a:solidFill>
                        <a:schemeClr val="tx1"/>
                      </a:solidFill>
                    </a:ln>
                  </pic:spPr>
                </pic:pic>
              </a:graphicData>
            </a:graphic>
          </wp:inline>
        </w:drawing>
      </w:r>
    </w:p>
    <w:p w14:paraId="3AD8C385" w14:textId="77777777" w:rsidR="00E272B4" w:rsidRDefault="00E272B4" w:rsidP="00347249"/>
    <w:p w14:paraId="5CEDFF41" w14:textId="7A033659" w:rsidR="009645D0" w:rsidRPr="009D5750" w:rsidRDefault="009645D0" w:rsidP="009D5750">
      <w:pPr>
        <w:pStyle w:val="ListParagraph"/>
        <w:numPr>
          <w:ilvl w:val="0"/>
          <w:numId w:val="2"/>
        </w:numPr>
        <w:rPr>
          <w:b/>
          <w:bCs/>
        </w:rPr>
      </w:pPr>
      <w:r w:rsidRPr="009D5750">
        <w:rPr>
          <w:b/>
          <w:bCs/>
        </w:rPr>
        <w:t>Income Delete Option Introduced to Merchant Portal's Application Layer</w:t>
      </w:r>
    </w:p>
    <w:p w14:paraId="217AA329" w14:textId="77777777" w:rsidR="00551952" w:rsidRDefault="00551952" w:rsidP="00347249">
      <w:r w:rsidRPr="00551952">
        <w:t>The merchant portal now allows users to delete an income entry. Any deletions made at the application layer will be reflected in the assessment layer.</w:t>
      </w:r>
    </w:p>
    <w:p w14:paraId="612527F0" w14:textId="185F7791" w:rsidR="00E272B4" w:rsidRDefault="00E272B4" w:rsidP="00347249">
      <w:r>
        <w:rPr>
          <w:noProof/>
        </w:rPr>
        <w:drawing>
          <wp:inline distT="0" distB="0" distL="0" distR="0" wp14:anchorId="6C43FA06" wp14:editId="66208BFB">
            <wp:extent cx="5727700" cy="1309370"/>
            <wp:effectExtent l="19050" t="19050" r="25400" b="24130"/>
            <wp:docPr id="1806825917" name="Picture 1806825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309370"/>
                    </a:xfrm>
                    <a:prstGeom prst="rect">
                      <a:avLst/>
                    </a:prstGeom>
                    <a:noFill/>
                    <a:ln>
                      <a:solidFill>
                        <a:schemeClr val="tx1"/>
                      </a:solidFill>
                    </a:ln>
                  </pic:spPr>
                </pic:pic>
              </a:graphicData>
            </a:graphic>
          </wp:inline>
        </w:drawing>
      </w:r>
    </w:p>
    <w:p w14:paraId="0A07FC84" w14:textId="77777777" w:rsidR="004979B9" w:rsidRDefault="004979B9" w:rsidP="00347249"/>
    <w:p w14:paraId="23D06E33" w14:textId="77777777" w:rsidR="00C13A70" w:rsidRDefault="00C13A70" w:rsidP="00347249">
      <w:pPr>
        <w:rPr>
          <w:b/>
          <w:bCs/>
        </w:rPr>
      </w:pPr>
    </w:p>
    <w:p w14:paraId="091B0581" w14:textId="77777777" w:rsidR="00C13A70" w:rsidRDefault="00C13A70" w:rsidP="00347249">
      <w:pPr>
        <w:rPr>
          <w:b/>
          <w:bCs/>
        </w:rPr>
      </w:pPr>
    </w:p>
    <w:p w14:paraId="0A3F3702" w14:textId="77777777" w:rsidR="00C13A70" w:rsidRDefault="00C13A70" w:rsidP="00347249">
      <w:pPr>
        <w:rPr>
          <w:b/>
          <w:bCs/>
        </w:rPr>
      </w:pPr>
    </w:p>
    <w:p w14:paraId="1A9DE780" w14:textId="77777777" w:rsidR="00C13A70" w:rsidRDefault="00C13A70" w:rsidP="00347249">
      <w:pPr>
        <w:rPr>
          <w:b/>
          <w:bCs/>
        </w:rPr>
      </w:pPr>
    </w:p>
    <w:p w14:paraId="04CC17D2" w14:textId="77777777" w:rsidR="00C13A70" w:rsidRDefault="00C13A70" w:rsidP="00347249">
      <w:pPr>
        <w:rPr>
          <w:b/>
          <w:bCs/>
        </w:rPr>
      </w:pPr>
    </w:p>
    <w:p w14:paraId="2577405B" w14:textId="77777777" w:rsidR="00C13A70" w:rsidRDefault="00C13A70" w:rsidP="00347249">
      <w:pPr>
        <w:rPr>
          <w:b/>
          <w:bCs/>
        </w:rPr>
      </w:pPr>
    </w:p>
    <w:p w14:paraId="1500ED49" w14:textId="77777777" w:rsidR="00C13A70" w:rsidRDefault="00C13A70" w:rsidP="00347249">
      <w:pPr>
        <w:rPr>
          <w:b/>
          <w:bCs/>
        </w:rPr>
      </w:pPr>
    </w:p>
    <w:p w14:paraId="74805660" w14:textId="77777777" w:rsidR="00C13A70" w:rsidRDefault="00C13A70" w:rsidP="00347249">
      <w:pPr>
        <w:rPr>
          <w:b/>
          <w:bCs/>
        </w:rPr>
      </w:pPr>
    </w:p>
    <w:p w14:paraId="5CE192C5" w14:textId="77777777" w:rsidR="009D5750" w:rsidRDefault="009D5750" w:rsidP="00347249">
      <w:pPr>
        <w:rPr>
          <w:b/>
          <w:bCs/>
        </w:rPr>
      </w:pPr>
    </w:p>
    <w:p w14:paraId="1BD10F27" w14:textId="33C37F64" w:rsidR="00AD5C6D" w:rsidRPr="009D5750" w:rsidRDefault="003E6FFE" w:rsidP="009D5750">
      <w:pPr>
        <w:pStyle w:val="ListParagraph"/>
        <w:numPr>
          <w:ilvl w:val="0"/>
          <w:numId w:val="2"/>
        </w:numPr>
        <w:rPr>
          <w:b/>
          <w:bCs/>
        </w:rPr>
      </w:pPr>
      <w:r w:rsidRPr="009D5750">
        <w:rPr>
          <w:b/>
          <w:bCs/>
        </w:rPr>
        <w:t xml:space="preserve">Stop &amp; Cancel </w:t>
      </w:r>
      <w:r w:rsidR="004979B9" w:rsidRPr="009D5750">
        <w:rPr>
          <w:b/>
          <w:bCs/>
        </w:rPr>
        <w:t>Direct Debit</w:t>
      </w:r>
      <w:r w:rsidR="00AD5C6D" w:rsidRPr="009D5750">
        <w:rPr>
          <w:b/>
          <w:bCs/>
        </w:rPr>
        <w:t xml:space="preserve"> / On </w:t>
      </w:r>
      <w:r w:rsidRPr="009D5750">
        <w:rPr>
          <w:b/>
          <w:bCs/>
        </w:rPr>
        <w:t>O</w:t>
      </w:r>
      <w:r w:rsidR="00AD5C6D" w:rsidRPr="009D5750">
        <w:rPr>
          <w:b/>
          <w:bCs/>
        </w:rPr>
        <w:t xml:space="preserve">ff </w:t>
      </w:r>
      <w:r w:rsidRPr="009D5750">
        <w:rPr>
          <w:b/>
          <w:bCs/>
        </w:rPr>
        <w:t>Rep</w:t>
      </w:r>
      <w:r w:rsidR="00AD5C6D" w:rsidRPr="009D5750">
        <w:rPr>
          <w:b/>
          <w:bCs/>
        </w:rPr>
        <w:t>aymen</w:t>
      </w:r>
      <w:r w:rsidRPr="009D5750">
        <w:rPr>
          <w:b/>
          <w:bCs/>
        </w:rPr>
        <w:t>ts</w:t>
      </w:r>
    </w:p>
    <w:p w14:paraId="28D403BF" w14:textId="0FA2EABD" w:rsidR="003E6FFE" w:rsidRDefault="003E6FFE" w:rsidP="003E6FFE">
      <w:r>
        <w:t xml:space="preserve">A new report has been introduced, providing a view of all pending and upcoming direct debits. </w:t>
      </w:r>
    </w:p>
    <w:p w14:paraId="74A63DB6" w14:textId="68A091A6" w:rsidR="00AB528D" w:rsidRDefault="003E6FFE" w:rsidP="003E6FFE">
      <w:r>
        <w:t>With this report, merchants now have the capability to stop upcoming recurring direct debits or cancel one-off repayments. However, it is essential to note that the option to stop or cancel repayments is only available before the payment advances to the pending stage, where the direct debit is already in the processing phase.</w:t>
      </w:r>
    </w:p>
    <w:p w14:paraId="4726C28E" w14:textId="010A6283" w:rsidR="00423074" w:rsidRDefault="00E536F6" w:rsidP="003E6FFE">
      <w:r>
        <w:rPr>
          <w:noProof/>
        </w:rPr>
        <w:drawing>
          <wp:inline distT="0" distB="0" distL="0" distR="0" wp14:anchorId="4C7CECA1" wp14:editId="501841C0">
            <wp:extent cx="5718175" cy="1310005"/>
            <wp:effectExtent l="19050" t="19050" r="15875" b="23495"/>
            <wp:docPr id="422188268" name="Picture 422188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8175" cy="1310005"/>
                    </a:xfrm>
                    <a:prstGeom prst="rect">
                      <a:avLst/>
                    </a:prstGeom>
                    <a:noFill/>
                    <a:ln>
                      <a:solidFill>
                        <a:schemeClr val="tx1"/>
                      </a:solidFill>
                    </a:ln>
                  </pic:spPr>
                </pic:pic>
              </a:graphicData>
            </a:graphic>
          </wp:inline>
        </w:drawing>
      </w:r>
    </w:p>
    <w:p w14:paraId="4289D9D1" w14:textId="77777777" w:rsidR="00423074" w:rsidRDefault="00423074" w:rsidP="003E6FFE"/>
    <w:p w14:paraId="78FE3190" w14:textId="1B289B0B" w:rsidR="007A560B" w:rsidRPr="009D5750" w:rsidRDefault="00896C4E" w:rsidP="009D5750">
      <w:pPr>
        <w:pStyle w:val="ListParagraph"/>
        <w:numPr>
          <w:ilvl w:val="0"/>
          <w:numId w:val="2"/>
        </w:numPr>
        <w:rPr>
          <w:b/>
          <w:bCs/>
        </w:rPr>
      </w:pPr>
      <w:r w:rsidRPr="009D5750">
        <w:rPr>
          <w:b/>
          <w:bCs/>
        </w:rPr>
        <w:t>Delinquency Repor</w:t>
      </w:r>
      <w:r w:rsidR="00B959C4" w:rsidRPr="009D5750">
        <w:rPr>
          <w:b/>
          <w:bCs/>
        </w:rPr>
        <w:t xml:space="preserve">t (enable/disable per customer) </w:t>
      </w:r>
    </w:p>
    <w:p w14:paraId="2E9224AB" w14:textId="77777777" w:rsidR="00625C6E" w:rsidRDefault="00625C6E" w:rsidP="003E6FFE">
      <w:r w:rsidRPr="00625C6E">
        <w:t xml:space="preserve">A new status option has been implemented within the report, enabling the display of all active delinquencies per customer. Moreover, merchants now </w:t>
      </w:r>
      <w:proofErr w:type="gramStart"/>
      <w:r w:rsidRPr="00625C6E">
        <w:t>have the ability to</w:t>
      </w:r>
      <w:proofErr w:type="gramEnd"/>
      <w:r w:rsidRPr="00625C6E">
        <w:t xml:space="preserve"> individually disable delinquency for specific customers, offering greater flexibility compared to the previous global setting where delinquency applied universally to all customers. This enhancement allows for more tailored and precise control over delinquency management.</w:t>
      </w:r>
    </w:p>
    <w:p w14:paraId="09AEBB49" w14:textId="256AA232" w:rsidR="00CB2087" w:rsidRPr="004F4AF7" w:rsidRDefault="00953CB5" w:rsidP="004F4AF7">
      <w:pPr>
        <w:ind w:firstLine="720"/>
        <w:jc w:val="right"/>
        <w:rPr>
          <w:i/>
          <w:iCs/>
          <w:sz w:val="18"/>
          <w:szCs w:val="18"/>
        </w:rPr>
      </w:pPr>
      <w:r w:rsidRPr="004F4AF7">
        <w:rPr>
          <w:i/>
          <w:iCs/>
          <w:sz w:val="18"/>
          <w:szCs w:val="18"/>
        </w:rPr>
        <w:t>*Note this feature will move to the new future “Credit Management” menu in the upcoming sprint</w:t>
      </w:r>
    </w:p>
    <w:p w14:paraId="75135956" w14:textId="340DE06F" w:rsidR="00423074" w:rsidRDefault="007A560B" w:rsidP="003E6FFE">
      <w:r>
        <w:rPr>
          <w:noProof/>
        </w:rPr>
        <w:drawing>
          <wp:inline distT="0" distB="0" distL="0" distR="0" wp14:anchorId="3D85AD22" wp14:editId="56627D10">
            <wp:extent cx="5581207" cy="1111910"/>
            <wp:effectExtent l="19050" t="19050" r="19685" b="12065"/>
            <wp:docPr id="1177896812" name="Picture 1177896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30555" cy="1121741"/>
                    </a:xfrm>
                    <a:prstGeom prst="rect">
                      <a:avLst/>
                    </a:prstGeom>
                    <a:noFill/>
                    <a:ln>
                      <a:solidFill>
                        <a:schemeClr val="tx1"/>
                      </a:solidFill>
                    </a:ln>
                  </pic:spPr>
                </pic:pic>
              </a:graphicData>
            </a:graphic>
          </wp:inline>
        </w:drawing>
      </w:r>
    </w:p>
    <w:p w14:paraId="2787295C" w14:textId="77777777" w:rsidR="00BC0E41" w:rsidRDefault="00BC0E41" w:rsidP="003E6FFE"/>
    <w:p w14:paraId="6533A832" w14:textId="77777777" w:rsidR="003B2359" w:rsidRDefault="003B2359" w:rsidP="000462D1">
      <w:pPr>
        <w:rPr>
          <w:b/>
          <w:bCs/>
        </w:rPr>
      </w:pPr>
    </w:p>
    <w:p w14:paraId="69E95792" w14:textId="77777777" w:rsidR="003B2359" w:rsidRDefault="003B2359" w:rsidP="000462D1">
      <w:pPr>
        <w:rPr>
          <w:b/>
          <w:bCs/>
        </w:rPr>
      </w:pPr>
    </w:p>
    <w:p w14:paraId="7ABD8683" w14:textId="77777777" w:rsidR="003B2359" w:rsidRDefault="003B2359" w:rsidP="000462D1">
      <w:pPr>
        <w:rPr>
          <w:b/>
          <w:bCs/>
        </w:rPr>
      </w:pPr>
    </w:p>
    <w:p w14:paraId="104F2B9A" w14:textId="77777777" w:rsidR="003B2359" w:rsidRDefault="003B2359" w:rsidP="000462D1">
      <w:pPr>
        <w:rPr>
          <w:b/>
          <w:bCs/>
        </w:rPr>
      </w:pPr>
    </w:p>
    <w:p w14:paraId="1B6BBBF8" w14:textId="77777777" w:rsidR="003B2359" w:rsidRDefault="003B2359" w:rsidP="000462D1">
      <w:pPr>
        <w:rPr>
          <w:b/>
          <w:bCs/>
        </w:rPr>
      </w:pPr>
    </w:p>
    <w:p w14:paraId="7D83F73A" w14:textId="77777777" w:rsidR="003B2359" w:rsidRDefault="003B2359" w:rsidP="000462D1">
      <w:pPr>
        <w:rPr>
          <w:b/>
          <w:bCs/>
        </w:rPr>
      </w:pPr>
    </w:p>
    <w:p w14:paraId="6CA9B196" w14:textId="77777777" w:rsidR="003B2359" w:rsidRDefault="003B2359" w:rsidP="000462D1">
      <w:pPr>
        <w:rPr>
          <w:b/>
          <w:bCs/>
        </w:rPr>
      </w:pPr>
    </w:p>
    <w:p w14:paraId="60D982F6" w14:textId="77777777" w:rsidR="003B2359" w:rsidRDefault="003B2359" w:rsidP="000462D1">
      <w:pPr>
        <w:rPr>
          <w:b/>
          <w:bCs/>
        </w:rPr>
      </w:pPr>
    </w:p>
    <w:p w14:paraId="7E034DE9" w14:textId="77777777" w:rsidR="003B2359" w:rsidRDefault="003B2359" w:rsidP="000462D1">
      <w:pPr>
        <w:rPr>
          <w:b/>
          <w:bCs/>
        </w:rPr>
      </w:pPr>
    </w:p>
    <w:p w14:paraId="064EA9BD" w14:textId="77777777" w:rsidR="009D5750" w:rsidRDefault="009D5750" w:rsidP="000462D1">
      <w:pPr>
        <w:rPr>
          <w:b/>
          <w:bCs/>
        </w:rPr>
      </w:pPr>
    </w:p>
    <w:p w14:paraId="4892D9F4" w14:textId="028BCEF3" w:rsidR="000462D1" w:rsidRPr="009D5750" w:rsidRDefault="000462D1" w:rsidP="009D5750">
      <w:pPr>
        <w:pStyle w:val="ListParagraph"/>
        <w:numPr>
          <w:ilvl w:val="0"/>
          <w:numId w:val="2"/>
        </w:numPr>
        <w:rPr>
          <w:b/>
          <w:bCs/>
        </w:rPr>
      </w:pPr>
      <w:r w:rsidRPr="009D5750">
        <w:rPr>
          <w:b/>
          <w:bCs/>
        </w:rPr>
        <w:t xml:space="preserve">Occupation Codes </w:t>
      </w:r>
      <w:r w:rsidR="00F92E93" w:rsidRPr="009D5750">
        <w:rPr>
          <w:b/>
          <w:bCs/>
        </w:rPr>
        <w:t>- ANZSCO</w:t>
      </w:r>
      <w:r w:rsidR="007408D6" w:rsidRPr="009D5750">
        <w:rPr>
          <w:b/>
          <w:bCs/>
        </w:rPr>
        <w:t xml:space="preserve"> </w:t>
      </w:r>
    </w:p>
    <w:p w14:paraId="246ECD37" w14:textId="31BA11C1" w:rsidR="006355CF" w:rsidRDefault="006355CF" w:rsidP="006355CF">
      <w:r>
        <w:t>Merchants now possess the capability to customise the number of digits for Occupation Codes in the Company Settings layer under Occupation Codes - ANZSCO, allowing them to tailor the system to their unique requirements. The Occupation Codes themselves can range from 1 to 6 digits.</w:t>
      </w:r>
    </w:p>
    <w:p w14:paraId="7E62B39A" w14:textId="49C37432" w:rsidR="006355CF" w:rsidRDefault="006355CF" w:rsidP="006355CF">
      <w:r>
        <w:t>This functionality is made available through the form builder, granting both customers and merchants the freedom to select industry-specific Occupation Codes either through the customer application form or the merchant portal.</w:t>
      </w:r>
    </w:p>
    <w:p w14:paraId="18B3009C" w14:textId="46867C90" w:rsidR="00F2392E" w:rsidRDefault="00FF44CB" w:rsidP="00552A03">
      <w:pPr>
        <w:rPr>
          <w:rFonts w:ascii="Calibri" w:eastAsia="Times New Roman" w:hAnsi="Calibri" w:cs="Calibri"/>
          <w:color w:val="0563C1"/>
          <w:kern w:val="0"/>
          <w:u w:val="single"/>
          <w:lang w:eastAsia="en-AU"/>
          <w14:ligatures w14:val="none"/>
        </w:rPr>
      </w:pPr>
      <w:r w:rsidRPr="00FF44CB">
        <w:t>The Occupation Codes have been sourced from the official website of the Australian Bureau of Statistics at</w:t>
      </w:r>
      <w:r>
        <w:t xml:space="preserve"> </w:t>
      </w:r>
      <w:hyperlink r:id="rId21" w:history="1">
        <w:r w:rsidR="00F433EE" w:rsidRPr="00F433EE">
          <w:rPr>
            <w:rFonts w:ascii="Calibri" w:eastAsia="Times New Roman" w:hAnsi="Calibri" w:cs="Calibri"/>
            <w:color w:val="0563C1"/>
            <w:kern w:val="0"/>
            <w:u w:val="single"/>
            <w:lang w:eastAsia="en-AU"/>
            <w14:ligatures w14:val="none"/>
          </w:rPr>
          <w:t>ABS.GOV.AU</w:t>
        </w:r>
      </w:hyperlink>
    </w:p>
    <w:p w14:paraId="3B66B8AD" w14:textId="77777777" w:rsidR="00260457" w:rsidRDefault="00260457" w:rsidP="00552A03"/>
    <w:p w14:paraId="6C8FB43E" w14:textId="7C3754C3" w:rsidR="00D2705C" w:rsidRDefault="00D2705C" w:rsidP="00552A03">
      <w:r>
        <w:rPr>
          <w:noProof/>
        </w:rPr>
        <w:drawing>
          <wp:inline distT="0" distB="0" distL="0" distR="0" wp14:anchorId="1EC9D3B1" wp14:editId="79D67DE3">
            <wp:extent cx="5104263" cy="1867675"/>
            <wp:effectExtent l="19050" t="19050" r="20320" b="18415"/>
            <wp:docPr id="148484998" name="Picture 148484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28971" cy="1876716"/>
                    </a:xfrm>
                    <a:prstGeom prst="rect">
                      <a:avLst/>
                    </a:prstGeom>
                    <a:noFill/>
                    <a:ln>
                      <a:solidFill>
                        <a:schemeClr val="tx1"/>
                      </a:solidFill>
                    </a:ln>
                  </pic:spPr>
                </pic:pic>
              </a:graphicData>
            </a:graphic>
          </wp:inline>
        </w:drawing>
      </w:r>
    </w:p>
    <w:p w14:paraId="5F4A58F1" w14:textId="7A9DE076" w:rsidR="007408D6" w:rsidRPr="003C1F27" w:rsidRDefault="007408D6" w:rsidP="000462D1">
      <w:pPr>
        <w:rPr>
          <w:b/>
          <w:bCs/>
        </w:rPr>
      </w:pPr>
    </w:p>
    <w:p w14:paraId="7069221F" w14:textId="004F0905" w:rsidR="00BC0E41" w:rsidRPr="009D5750" w:rsidRDefault="00F56A81" w:rsidP="009D5750">
      <w:pPr>
        <w:pStyle w:val="ListParagraph"/>
        <w:numPr>
          <w:ilvl w:val="0"/>
          <w:numId w:val="2"/>
        </w:numPr>
        <w:rPr>
          <w:b/>
          <w:bCs/>
        </w:rPr>
      </w:pPr>
      <w:r w:rsidRPr="009D5750">
        <w:rPr>
          <w:b/>
          <w:bCs/>
        </w:rPr>
        <w:t>Loan repayments include Monthly/Annual fees in calculation displays</w:t>
      </w:r>
      <w:r w:rsidR="003504CD" w:rsidRPr="009D5750">
        <w:rPr>
          <w:b/>
          <w:bCs/>
        </w:rPr>
        <w:t>.</w:t>
      </w:r>
    </w:p>
    <w:p w14:paraId="62AE8D33" w14:textId="44CBC2F1" w:rsidR="003C1F27" w:rsidRDefault="003C1F27" w:rsidP="003C1F27">
      <w:r>
        <w:t>Merchants can now include or omit fees on the "product selection" page for loan repayments. To activate this functionality, navigate to the company settings and access the general setting tab. Within the tab, expand the "Loan Repayment Calculation" section and toggle the option to either "YES" or "NO" for enabling or disabling the feature.</w:t>
      </w:r>
    </w:p>
    <w:p w14:paraId="3A17425F" w14:textId="2CC09C1C" w:rsidR="002C2460" w:rsidRDefault="003C1F27" w:rsidP="003C1F27">
      <w:r>
        <w:t>For fee information, refer to the pricing table located within the Management layer. Select the desired product, and within the "Interest Rate &amp; Fee" field, click on "view." You'll find the annual fee column, which can be utilised for setting up monthly fees as well. If you opt for monthly fees, you can enter the total amount in this field, and the system will automatically calculate the corresponding charges based on the customer's chosen product and loan frequency.</w:t>
      </w:r>
    </w:p>
    <w:p w14:paraId="6DD69CC0" w14:textId="77777777" w:rsidR="003C1F27" w:rsidRDefault="003C1F27" w:rsidP="003C1F27"/>
    <w:p w14:paraId="4B29FE7D" w14:textId="1F3DD647" w:rsidR="003504CD" w:rsidRDefault="002C2460" w:rsidP="003E6FFE">
      <w:r w:rsidRPr="002C2460">
        <w:rPr>
          <w:noProof/>
        </w:rPr>
        <w:drawing>
          <wp:inline distT="0" distB="0" distL="0" distR="0" wp14:anchorId="225219EB" wp14:editId="7F23740E">
            <wp:extent cx="2381582" cy="1333686"/>
            <wp:effectExtent l="19050" t="19050" r="19050" b="19050"/>
            <wp:docPr id="381659880" name="Picture 1" descr="A screenshot of a calcul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659880" name="Picture 1" descr="A screenshot of a calculator&#10;&#10;Description automatically generated"/>
                    <pic:cNvPicPr/>
                  </pic:nvPicPr>
                  <pic:blipFill>
                    <a:blip r:embed="rId23"/>
                    <a:stretch>
                      <a:fillRect/>
                    </a:stretch>
                  </pic:blipFill>
                  <pic:spPr>
                    <a:xfrm>
                      <a:off x="0" y="0"/>
                      <a:ext cx="2381582" cy="1333686"/>
                    </a:xfrm>
                    <a:prstGeom prst="rect">
                      <a:avLst/>
                    </a:prstGeom>
                    <a:ln>
                      <a:solidFill>
                        <a:schemeClr val="tx1"/>
                      </a:solidFill>
                    </a:ln>
                  </pic:spPr>
                </pic:pic>
              </a:graphicData>
            </a:graphic>
          </wp:inline>
        </w:drawing>
      </w:r>
    </w:p>
    <w:p w14:paraId="15DEF6FB" w14:textId="77777777" w:rsidR="009D5750" w:rsidRDefault="009D5750" w:rsidP="003E6FFE"/>
    <w:p w14:paraId="184C53CA" w14:textId="77777777" w:rsidR="009D5750" w:rsidRDefault="009D5750" w:rsidP="009D5750">
      <w:pPr>
        <w:rPr>
          <w:b/>
          <w:bCs/>
        </w:rPr>
      </w:pPr>
    </w:p>
    <w:p w14:paraId="5570C43D" w14:textId="3B7A06E7" w:rsidR="009D5750" w:rsidRPr="009D5750" w:rsidRDefault="009D5750" w:rsidP="009D5750">
      <w:pPr>
        <w:pStyle w:val="ListParagraph"/>
        <w:numPr>
          <w:ilvl w:val="0"/>
          <w:numId w:val="2"/>
        </w:numPr>
        <w:rPr>
          <w:b/>
          <w:bCs/>
        </w:rPr>
      </w:pPr>
      <w:r w:rsidRPr="009D5750">
        <w:rPr>
          <w:b/>
          <w:bCs/>
        </w:rPr>
        <w:t>Split Applicant ID – separate customer portal inc. MFA</w:t>
      </w:r>
    </w:p>
    <w:p w14:paraId="45245734" w14:textId="77777777" w:rsidR="009D5750" w:rsidRPr="009D5750" w:rsidRDefault="009D5750" w:rsidP="009D5750">
      <w:pPr>
        <w:rPr>
          <w:b/>
          <w:bCs/>
        </w:rPr>
      </w:pPr>
    </w:p>
    <w:p w14:paraId="471F8DE0" w14:textId="62252D6D" w:rsidR="009D5750" w:rsidRDefault="009D5750" w:rsidP="009D5750">
      <w:r>
        <w:t>Each customer on the application will receive their personalised customer portal link, which will be secured with Multi-Factor Authentication (MFA).</w:t>
      </w:r>
    </w:p>
    <w:p w14:paraId="2D561B0B" w14:textId="77777777" w:rsidR="00D3143D" w:rsidRDefault="00D3143D" w:rsidP="009D5750"/>
    <w:p w14:paraId="61C78819" w14:textId="17D00E00" w:rsidR="00D3143D" w:rsidRPr="00D3143D" w:rsidRDefault="00D3143D" w:rsidP="00D3143D">
      <w:pPr>
        <w:pStyle w:val="ListParagraph"/>
        <w:numPr>
          <w:ilvl w:val="0"/>
          <w:numId w:val="2"/>
        </w:numPr>
        <w:rPr>
          <w:b/>
          <w:bCs/>
        </w:rPr>
      </w:pPr>
      <w:r w:rsidRPr="00D3143D">
        <w:rPr>
          <w:b/>
          <w:bCs/>
        </w:rPr>
        <w:t>External Penetration Testing continued</w:t>
      </w:r>
    </w:p>
    <w:sectPr w:rsidR="00D3143D" w:rsidRPr="00D31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06DB6"/>
    <w:multiLevelType w:val="hybridMultilevel"/>
    <w:tmpl w:val="48D4520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4DED3CF6"/>
    <w:multiLevelType w:val="hybridMultilevel"/>
    <w:tmpl w:val="62C201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94A044F"/>
    <w:multiLevelType w:val="hybridMultilevel"/>
    <w:tmpl w:val="BC2201DA"/>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73BF44D7"/>
    <w:multiLevelType w:val="hybridMultilevel"/>
    <w:tmpl w:val="5FAE2A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19052117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1853191">
    <w:abstractNumId w:val="2"/>
    <w:lvlOverride w:ilvl="0">
      <w:startOverride w:val="1"/>
    </w:lvlOverride>
    <w:lvlOverride w:ilvl="1"/>
    <w:lvlOverride w:ilvl="2"/>
    <w:lvlOverride w:ilvl="3"/>
    <w:lvlOverride w:ilvl="4"/>
    <w:lvlOverride w:ilvl="5"/>
    <w:lvlOverride w:ilvl="6"/>
    <w:lvlOverride w:ilvl="7"/>
    <w:lvlOverride w:ilvl="8"/>
  </w:num>
  <w:num w:numId="3" w16cid:durableId="4410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44237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721"/>
    <w:rsid w:val="00036294"/>
    <w:rsid w:val="000462D1"/>
    <w:rsid w:val="0005563F"/>
    <w:rsid w:val="000C2E3F"/>
    <w:rsid w:val="000C364B"/>
    <w:rsid w:val="000D49A4"/>
    <w:rsid w:val="001D2FAB"/>
    <w:rsid w:val="001E28C1"/>
    <w:rsid w:val="001E3518"/>
    <w:rsid w:val="001F086E"/>
    <w:rsid w:val="001F61E6"/>
    <w:rsid w:val="00234CAC"/>
    <w:rsid w:val="002541A3"/>
    <w:rsid w:val="00260457"/>
    <w:rsid w:val="00276D2D"/>
    <w:rsid w:val="002901CB"/>
    <w:rsid w:val="002C07A1"/>
    <w:rsid w:val="002C2460"/>
    <w:rsid w:val="002C2C6E"/>
    <w:rsid w:val="002C2CD9"/>
    <w:rsid w:val="002D7AC2"/>
    <w:rsid w:val="002F1723"/>
    <w:rsid w:val="002F253D"/>
    <w:rsid w:val="00321DD9"/>
    <w:rsid w:val="00326A5B"/>
    <w:rsid w:val="003415F7"/>
    <w:rsid w:val="00342D38"/>
    <w:rsid w:val="00347249"/>
    <w:rsid w:val="003504CD"/>
    <w:rsid w:val="00383B20"/>
    <w:rsid w:val="003B2359"/>
    <w:rsid w:val="003C1F27"/>
    <w:rsid w:val="003E6FFE"/>
    <w:rsid w:val="004153AE"/>
    <w:rsid w:val="00423074"/>
    <w:rsid w:val="004760AD"/>
    <w:rsid w:val="00485DD4"/>
    <w:rsid w:val="004979B9"/>
    <w:rsid w:val="004A3596"/>
    <w:rsid w:val="004F3E73"/>
    <w:rsid w:val="004F4AF7"/>
    <w:rsid w:val="005078D0"/>
    <w:rsid w:val="00521AB1"/>
    <w:rsid w:val="00524931"/>
    <w:rsid w:val="005273BD"/>
    <w:rsid w:val="00551952"/>
    <w:rsid w:val="00552A03"/>
    <w:rsid w:val="00583C3E"/>
    <w:rsid w:val="005867DB"/>
    <w:rsid w:val="005E3851"/>
    <w:rsid w:val="005E401A"/>
    <w:rsid w:val="00616A32"/>
    <w:rsid w:val="00624769"/>
    <w:rsid w:val="00625C6E"/>
    <w:rsid w:val="006355CF"/>
    <w:rsid w:val="0064086B"/>
    <w:rsid w:val="00653885"/>
    <w:rsid w:val="006603C2"/>
    <w:rsid w:val="00663115"/>
    <w:rsid w:val="00687F99"/>
    <w:rsid w:val="00694FB2"/>
    <w:rsid w:val="006D5D5A"/>
    <w:rsid w:val="006F0049"/>
    <w:rsid w:val="0070199F"/>
    <w:rsid w:val="00726292"/>
    <w:rsid w:val="007370D0"/>
    <w:rsid w:val="007408D6"/>
    <w:rsid w:val="00762AF6"/>
    <w:rsid w:val="00766E09"/>
    <w:rsid w:val="00790819"/>
    <w:rsid w:val="00792AAF"/>
    <w:rsid w:val="007A560B"/>
    <w:rsid w:val="007A6781"/>
    <w:rsid w:val="007F0856"/>
    <w:rsid w:val="007F6EA0"/>
    <w:rsid w:val="00802CFA"/>
    <w:rsid w:val="00847565"/>
    <w:rsid w:val="00850D8A"/>
    <w:rsid w:val="008558B7"/>
    <w:rsid w:val="00861D21"/>
    <w:rsid w:val="0087010F"/>
    <w:rsid w:val="00875F41"/>
    <w:rsid w:val="00896C4E"/>
    <w:rsid w:val="008C0AC6"/>
    <w:rsid w:val="008D7B3D"/>
    <w:rsid w:val="008E4A40"/>
    <w:rsid w:val="008E62E1"/>
    <w:rsid w:val="008F634C"/>
    <w:rsid w:val="00900A46"/>
    <w:rsid w:val="009066D4"/>
    <w:rsid w:val="00935575"/>
    <w:rsid w:val="00936C43"/>
    <w:rsid w:val="00953CB5"/>
    <w:rsid w:val="009565C7"/>
    <w:rsid w:val="009645D0"/>
    <w:rsid w:val="00983323"/>
    <w:rsid w:val="009A5ED3"/>
    <w:rsid w:val="009C38F3"/>
    <w:rsid w:val="009D5750"/>
    <w:rsid w:val="009F64A3"/>
    <w:rsid w:val="00A11C94"/>
    <w:rsid w:val="00A26701"/>
    <w:rsid w:val="00A420C4"/>
    <w:rsid w:val="00A4510C"/>
    <w:rsid w:val="00A8210B"/>
    <w:rsid w:val="00AA05D3"/>
    <w:rsid w:val="00AB528D"/>
    <w:rsid w:val="00AD5C6D"/>
    <w:rsid w:val="00B14AED"/>
    <w:rsid w:val="00B33923"/>
    <w:rsid w:val="00B53FC3"/>
    <w:rsid w:val="00B76D5E"/>
    <w:rsid w:val="00B959C4"/>
    <w:rsid w:val="00BC0E41"/>
    <w:rsid w:val="00C13A70"/>
    <w:rsid w:val="00C47460"/>
    <w:rsid w:val="00CB2087"/>
    <w:rsid w:val="00D22FAB"/>
    <w:rsid w:val="00D2705C"/>
    <w:rsid w:val="00D3143D"/>
    <w:rsid w:val="00D54054"/>
    <w:rsid w:val="00DA7039"/>
    <w:rsid w:val="00DB15F3"/>
    <w:rsid w:val="00DB5BFE"/>
    <w:rsid w:val="00E05FBB"/>
    <w:rsid w:val="00E272B4"/>
    <w:rsid w:val="00E300E3"/>
    <w:rsid w:val="00E536F6"/>
    <w:rsid w:val="00E82721"/>
    <w:rsid w:val="00F03500"/>
    <w:rsid w:val="00F2392E"/>
    <w:rsid w:val="00F433EE"/>
    <w:rsid w:val="00F47340"/>
    <w:rsid w:val="00F56A81"/>
    <w:rsid w:val="00F92E93"/>
    <w:rsid w:val="00FB4BE9"/>
    <w:rsid w:val="00FD1EC4"/>
    <w:rsid w:val="00FF149B"/>
    <w:rsid w:val="00FF4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2043"/>
  <w15:chartTrackingRefBased/>
  <w15:docId w15:val="{B02A2E18-F6D9-46C6-9A57-99F9E0FCA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2E1"/>
    <w:pPr>
      <w:spacing w:after="0" w:line="240" w:lineRule="auto"/>
      <w:ind w:left="720"/>
    </w:pPr>
    <w:rPr>
      <w:rFonts w:ascii="Calibri" w:hAnsi="Calibri" w:cs="Calibri"/>
      <w:kern w:val="0"/>
    </w:rPr>
  </w:style>
  <w:style w:type="character" w:styleId="Hyperlink">
    <w:name w:val="Hyperlink"/>
    <w:basedOn w:val="DefaultParagraphFont"/>
    <w:uiPriority w:val="99"/>
    <w:semiHidden/>
    <w:unhideWhenUsed/>
    <w:rsid w:val="00F433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655967">
      <w:bodyDiv w:val="1"/>
      <w:marLeft w:val="0"/>
      <w:marRight w:val="0"/>
      <w:marTop w:val="0"/>
      <w:marBottom w:val="0"/>
      <w:divBdr>
        <w:top w:val="none" w:sz="0" w:space="0" w:color="auto"/>
        <w:left w:val="none" w:sz="0" w:space="0" w:color="auto"/>
        <w:bottom w:val="none" w:sz="0" w:space="0" w:color="auto"/>
        <w:right w:val="none" w:sz="0" w:space="0" w:color="auto"/>
      </w:divBdr>
    </w:div>
    <w:div w:id="529949436">
      <w:bodyDiv w:val="1"/>
      <w:marLeft w:val="0"/>
      <w:marRight w:val="0"/>
      <w:marTop w:val="0"/>
      <w:marBottom w:val="0"/>
      <w:divBdr>
        <w:top w:val="none" w:sz="0" w:space="0" w:color="auto"/>
        <w:left w:val="none" w:sz="0" w:space="0" w:color="auto"/>
        <w:bottom w:val="none" w:sz="0" w:space="0" w:color="auto"/>
        <w:right w:val="none" w:sz="0" w:space="0" w:color="auto"/>
      </w:divBdr>
    </w:div>
    <w:div w:id="1029138451">
      <w:bodyDiv w:val="1"/>
      <w:marLeft w:val="0"/>
      <w:marRight w:val="0"/>
      <w:marTop w:val="0"/>
      <w:marBottom w:val="0"/>
      <w:divBdr>
        <w:top w:val="none" w:sz="0" w:space="0" w:color="auto"/>
        <w:left w:val="none" w:sz="0" w:space="0" w:color="auto"/>
        <w:bottom w:val="none" w:sz="0" w:space="0" w:color="auto"/>
        <w:right w:val="none" w:sz="0" w:space="0" w:color="auto"/>
      </w:divBdr>
    </w:div>
    <w:div w:id="1813525515">
      <w:bodyDiv w:val="1"/>
      <w:marLeft w:val="0"/>
      <w:marRight w:val="0"/>
      <w:marTop w:val="0"/>
      <w:marBottom w:val="0"/>
      <w:divBdr>
        <w:top w:val="none" w:sz="0" w:space="0" w:color="auto"/>
        <w:left w:val="none" w:sz="0" w:space="0" w:color="auto"/>
        <w:bottom w:val="none" w:sz="0" w:space="0" w:color="auto"/>
        <w:right w:val="none" w:sz="0" w:space="0" w:color="auto"/>
      </w:divBdr>
    </w:div>
    <w:div w:id="199938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jpg@01D9B998.55412300" TargetMode="External"/><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hyperlink" Target="https://www.abs.gov.au/statistics/classifications/anzsco-australian-and-new-zealand-standard-classification-occupations/latest-release" TargetMode="Externa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cid:image006.png@01D9B998.55412300" TargetMode="External"/><Relationship Id="rId23" Type="http://schemas.openxmlformats.org/officeDocument/2006/relationships/image" Target="media/image13.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72568e-39d7-4dc4-90ea-facce9e5ac42">
      <Terms xmlns="http://schemas.microsoft.com/office/infopath/2007/PartnerControls"/>
    </lcf76f155ced4ddcb4097134ff3c332f>
    <TaxCatchAll xmlns="70f92637-a942-4df8-81dd-91512f4fb1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FDD6CDA32ABB4EA40773E1F6832C29" ma:contentTypeVersion="14" ma:contentTypeDescription="Create a new document." ma:contentTypeScope="" ma:versionID="619505bd5f7dffba30375662c4826c41">
  <xsd:schema xmlns:xsd="http://www.w3.org/2001/XMLSchema" xmlns:xs="http://www.w3.org/2001/XMLSchema" xmlns:p="http://schemas.microsoft.com/office/2006/metadata/properties" xmlns:ns2="4d72568e-39d7-4dc4-90ea-facce9e5ac42" xmlns:ns3="70f92637-a942-4df8-81dd-91512f4fb18e" targetNamespace="http://schemas.microsoft.com/office/2006/metadata/properties" ma:root="true" ma:fieldsID="f19d5a39c77e5519674a0c10199c3dea" ns2:_="" ns3:_="">
    <xsd:import namespace="4d72568e-39d7-4dc4-90ea-facce9e5ac42"/>
    <xsd:import namespace="70f92637-a942-4df8-81dd-91512f4fb1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2568e-39d7-4dc4-90ea-facce9e5a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d572258-5d1a-4810-b3ee-db135562826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f92637-a942-4df8-81dd-91512f4fb1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67c1b-8c9d-4431-82dc-115dde237ae8}" ma:internalName="TaxCatchAll" ma:showField="CatchAllData" ma:web="70f92637-a942-4df8-81dd-91512f4fb18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39D94-28CB-458F-8B5B-62C4A8A15D77}">
  <ds:schemaRefs>
    <ds:schemaRef ds:uri="http://schemas.microsoft.com/office/2006/metadata/properties"/>
    <ds:schemaRef ds:uri="http://schemas.microsoft.com/office/infopath/2007/PartnerControls"/>
    <ds:schemaRef ds:uri="4d72568e-39d7-4dc4-90ea-facce9e5ac42"/>
    <ds:schemaRef ds:uri="70f92637-a942-4df8-81dd-91512f4fb18e"/>
  </ds:schemaRefs>
</ds:datastoreItem>
</file>

<file path=customXml/itemProps2.xml><?xml version="1.0" encoding="utf-8"?>
<ds:datastoreItem xmlns:ds="http://schemas.openxmlformats.org/officeDocument/2006/customXml" ds:itemID="{8D56D80A-D024-4919-96A7-B440F03F4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2568e-39d7-4dc4-90ea-facce9e5ac42"/>
    <ds:schemaRef ds:uri="70f92637-a942-4df8-81dd-91512f4fb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3D5D7B-E847-40E9-82EA-16BF69419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1605</TotalTime>
  <Pages>8</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Links>
    <vt:vector size="6" baseType="variant">
      <vt:variant>
        <vt:i4>4063289</vt:i4>
      </vt:variant>
      <vt:variant>
        <vt:i4>0</vt:i4>
      </vt:variant>
      <vt:variant>
        <vt:i4>0</vt:i4>
      </vt:variant>
      <vt:variant>
        <vt:i4>5</vt:i4>
      </vt:variant>
      <vt:variant>
        <vt:lpwstr>https://www.abs.gov.au/statistics/classifications/anzsco-australian-and-new-zealand-standard-classification-occupations/latest-release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Nabi</dc:creator>
  <cp:keywords/>
  <dc:description/>
  <cp:lastModifiedBy>Ahmed Nabi</cp:lastModifiedBy>
  <cp:revision>165</cp:revision>
  <dcterms:created xsi:type="dcterms:W3CDTF">2023-07-25T22:37:00Z</dcterms:created>
  <dcterms:modified xsi:type="dcterms:W3CDTF">2023-08-02T01:13:00Z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0x01010017FDD6CDA32ABB4EA40773E1F6832C29</vt:lpwstr>
  </property>
  <property fmtid="{D5CDD505-2E9C-101B-9397-08002B2CF9AE}" pid="3" name="MediaServiceImageTags">
    <vt:lpwstr/>
  </property>
</Properties>
</file>