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1293" w14:textId="4D755E9C" w:rsidR="006F0049" w:rsidRPr="00E06A06" w:rsidRDefault="00B202FA">
      <w:pPr>
        <w:rPr>
          <w:b/>
          <w:bCs/>
        </w:rPr>
      </w:pPr>
      <w:r w:rsidRPr="00E06A06">
        <w:rPr>
          <w:b/>
          <w:bCs/>
        </w:rPr>
        <w:t xml:space="preserve">Multiple Lot numbers - </w:t>
      </w:r>
      <w:r w:rsidRPr="00E06A06">
        <w:rPr>
          <w:b/>
          <w:bCs/>
        </w:rPr>
        <w:t xml:space="preserve">Land titles </w:t>
      </w:r>
      <w:r w:rsidR="00A27802" w:rsidRPr="00E06A06">
        <w:rPr>
          <w:b/>
          <w:bCs/>
        </w:rPr>
        <w:t>(Assessment layer)</w:t>
      </w:r>
    </w:p>
    <w:p w14:paraId="0F3FD3AE" w14:textId="3FEF51E1" w:rsidR="00B202FA" w:rsidRDefault="00B202FA">
      <w:r w:rsidRPr="00B202FA">
        <w:t>When requesting a land title and encountering distinct Lot numbers in the address, a dropdown menu is presented, offering a selection of all available Lots to choose from</w:t>
      </w:r>
    </w:p>
    <w:p w14:paraId="34614FC9" w14:textId="77777777" w:rsidR="00B202FA" w:rsidRDefault="00B202FA"/>
    <w:p w14:paraId="3E202F23" w14:textId="5F65ECF6" w:rsidR="00B202FA" w:rsidRDefault="00B202FA">
      <w:r w:rsidRPr="00B202FA">
        <w:drawing>
          <wp:inline distT="0" distB="0" distL="0" distR="0" wp14:anchorId="64408C9B" wp14:editId="3ACB3786">
            <wp:extent cx="3167482" cy="2153298"/>
            <wp:effectExtent l="19050" t="19050" r="13970" b="18415"/>
            <wp:docPr id="18217160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16097" name="Picture 1" descr="A screenshot of a computer&#10;&#10;Description automatically generated"/>
                    <pic:cNvPicPr/>
                  </pic:nvPicPr>
                  <pic:blipFill>
                    <a:blip r:embed="rId5"/>
                    <a:stretch>
                      <a:fillRect/>
                    </a:stretch>
                  </pic:blipFill>
                  <pic:spPr>
                    <a:xfrm>
                      <a:off x="0" y="0"/>
                      <a:ext cx="3177160" cy="2159877"/>
                    </a:xfrm>
                    <a:prstGeom prst="rect">
                      <a:avLst/>
                    </a:prstGeom>
                    <a:ln>
                      <a:solidFill>
                        <a:schemeClr val="tx1"/>
                      </a:solidFill>
                    </a:ln>
                  </pic:spPr>
                </pic:pic>
              </a:graphicData>
            </a:graphic>
          </wp:inline>
        </w:drawing>
      </w:r>
    </w:p>
    <w:p w14:paraId="70BB189D" w14:textId="77777777" w:rsidR="00B202FA" w:rsidRDefault="00B202FA"/>
    <w:p w14:paraId="6A5FAE64" w14:textId="5A503056" w:rsidR="00B202FA" w:rsidRPr="00E06A06" w:rsidRDefault="00A27802">
      <w:pPr>
        <w:rPr>
          <w:b/>
          <w:bCs/>
        </w:rPr>
      </w:pPr>
      <w:r w:rsidRPr="00E06A06">
        <w:rPr>
          <w:b/>
          <w:bCs/>
        </w:rPr>
        <w:t xml:space="preserve">Credit Summary </w:t>
      </w:r>
      <w:r w:rsidRPr="00E06A06">
        <w:rPr>
          <w:b/>
          <w:bCs/>
        </w:rPr>
        <w:t>(Assessment layer)</w:t>
      </w:r>
    </w:p>
    <w:p w14:paraId="32B10FC4" w14:textId="59F4C624" w:rsidR="00A27802" w:rsidRDefault="00A27802" w:rsidP="00A27802">
      <w:r>
        <w:t>The credit summary screen offers a concise overview of key credit assessment metrics essential for evaluating a loan application.</w:t>
      </w:r>
      <w:r>
        <w:t xml:space="preserve"> </w:t>
      </w:r>
      <w:r w:rsidRPr="00A27802">
        <w:t>(</w:t>
      </w:r>
      <w:r w:rsidRPr="00A27802">
        <w:t>The</w:t>
      </w:r>
      <w:r w:rsidRPr="00A27802">
        <w:t xml:space="preserve"> data is gathered from various layers within the Nimo application and assessment</w:t>
      </w:r>
      <w:r>
        <w:t xml:space="preserve"> layers</w:t>
      </w:r>
      <w:r w:rsidRPr="00A27802">
        <w:t>)</w:t>
      </w:r>
    </w:p>
    <w:p w14:paraId="4DB6AC1E" w14:textId="77777777" w:rsidR="00A27802" w:rsidRDefault="00A27802" w:rsidP="00A27802">
      <w:r>
        <w:t>Please note:</w:t>
      </w:r>
    </w:p>
    <w:p w14:paraId="2735C7CA" w14:textId="77777777" w:rsidR="00A27802" w:rsidRDefault="00A27802" w:rsidP="00A27802">
      <w:r>
        <w:t>In case of multiple applicants, this information will be presented within the customer section.</w:t>
      </w:r>
    </w:p>
    <w:p w14:paraId="2D4043E7" w14:textId="6584802A" w:rsidR="00A27802" w:rsidRDefault="00A27802" w:rsidP="00A27802">
      <w:r w:rsidRPr="00A27802">
        <w:drawing>
          <wp:inline distT="0" distB="0" distL="0" distR="0" wp14:anchorId="1B3AE132" wp14:editId="504C72A1">
            <wp:extent cx="5731510" cy="2820670"/>
            <wp:effectExtent l="19050" t="19050" r="21590" b="17780"/>
            <wp:docPr id="6156783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678332" name="Picture 1" descr="A screenshot of a computer&#10;&#10;Description automatically generated"/>
                    <pic:cNvPicPr/>
                  </pic:nvPicPr>
                  <pic:blipFill>
                    <a:blip r:embed="rId6"/>
                    <a:stretch>
                      <a:fillRect/>
                    </a:stretch>
                  </pic:blipFill>
                  <pic:spPr>
                    <a:xfrm>
                      <a:off x="0" y="0"/>
                      <a:ext cx="5731510" cy="2820670"/>
                    </a:xfrm>
                    <a:prstGeom prst="rect">
                      <a:avLst/>
                    </a:prstGeom>
                    <a:ln>
                      <a:solidFill>
                        <a:schemeClr val="tx1"/>
                      </a:solidFill>
                    </a:ln>
                  </pic:spPr>
                </pic:pic>
              </a:graphicData>
            </a:graphic>
          </wp:inline>
        </w:drawing>
      </w:r>
    </w:p>
    <w:p w14:paraId="3D12AAF4" w14:textId="77777777" w:rsidR="00A27802" w:rsidRDefault="00A27802" w:rsidP="00A27802"/>
    <w:p w14:paraId="42358F46" w14:textId="77777777" w:rsidR="00B149A4" w:rsidRDefault="00B149A4" w:rsidP="00A27802"/>
    <w:p w14:paraId="5A6ABD57" w14:textId="77777777" w:rsidR="00C87D21" w:rsidRDefault="00C87D21" w:rsidP="00A27802"/>
    <w:p w14:paraId="1C563D04" w14:textId="7CCCDDED" w:rsidR="00B149A4" w:rsidRPr="00E06A06" w:rsidRDefault="00B149A4" w:rsidP="00A27802">
      <w:pPr>
        <w:rPr>
          <w:b/>
          <w:bCs/>
        </w:rPr>
      </w:pPr>
      <w:r w:rsidRPr="00E06A06">
        <w:rPr>
          <w:b/>
          <w:bCs/>
        </w:rPr>
        <w:lastRenderedPageBreak/>
        <w:t xml:space="preserve">Loan Payout Figure &amp; Payout </w:t>
      </w:r>
      <w:r w:rsidRPr="00E06A06">
        <w:rPr>
          <w:b/>
          <w:bCs/>
        </w:rPr>
        <w:t xml:space="preserve">(Servicing layer) </w:t>
      </w:r>
    </w:p>
    <w:p w14:paraId="6298BFC0" w14:textId="761B4A19" w:rsidR="00104ACF" w:rsidRDefault="00104ACF" w:rsidP="00104ACF">
      <w:r>
        <w:t>In the 'servicing' portal for merchants, within the 'loan repayment</w:t>
      </w:r>
      <w:r>
        <w:t>s</w:t>
      </w:r>
      <w:r>
        <w:t>' tab, merchants will find the option to settle and close their existing loan facility.</w:t>
      </w:r>
    </w:p>
    <w:p w14:paraId="7F9CAD0B" w14:textId="30CE4F00" w:rsidR="00104ACF" w:rsidRDefault="00104ACF" w:rsidP="00104ACF">
      <w:r>
        <w:t>Note: If there is a pending direct debit in progress, the closure will not be processed.</w:t>
      </w:r>
    </w:p>
    <w:p w14:paraId="0DE9EC24" w14:textId="468DEC92" w:rsidR="00104ACF" w:rsidRDefault="00B149A4" w:rsidP="00104ACF">
      <w:r>
        <w:rPr>
          <w:noProof/>
        </w:rPr>
        <w:drawing>
          <wp:inline distT="0" distB="0" distL="0" distR="0" wp14:anchorId="189DC3EA" wp14:editId="3D497803">
            <wp:extent cx="2884422" cy="3477616"/>
            <wp:effectExtent l="19050" t="19050" r="11430" b="27940"/>
            <wp:docPr id="802282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6145" cy="3491749"/>
                    </a:xfrm>
                    <a:prstGeom prst="rect">
                      <a:avLst/>
                    </a:prstGeom>
                    <a:noFill/>
                    <a:ln>
                      <a:solidFill>
                        <a:schemeClr val="tx1"/>
                      </a:solidFill>
                    </a:ln>
                  </pic:spPr>
                </pic:pic>
              </a:graphicData>
            </a:graphic>
          </wp:inline>
        </w:drawing>
      </w:r>
    </w:p>
    <w:p w14:paraId="7505545E" w14:textId="31FF7DA8" w:rsidR="00C87D21" w:rsidRDefault="00C87D21" w:rsidP="00104ACF">
      <w:r>
        <w:t xml:space="preserve">Payout and Close communication added to the communication tab in company settings. </w:t>
      </w:r>
    </w:p>
    <w:p w14:paraId="749949C0" w14:textId="75547B59" w:rsidR="00C87D21" w:rsidRDefault="00C87D21" w:rsidP="00104ACF">
      <w:r w:rsidRPr="00C87D21">
        <w:drawing>
          <wp:inline distT="0" distB="0" distL="0" distR="0" wp14:anchorId="450D0097" wp14:editId="477A00EA">
            <wp:extent cx="3227248" cy="2980182"/>
            <wp:effectExtent l="19050" t="19050" r="11430" b="10795"/>
            <wp:docPr id="98083258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32587" name="Picture 1" descr="A screenshot of a computer screen&#10;&#10;Description automatically generated"/>
                    <pic:cNvPicPr/>
                  </pic:nvPicPr>
                  <pic:blipFill>
                    <a:blip r:embed="rId8"/>
                    <a:stretch>
                      <a:fillRect/>
                    </a:stretch>
                  </pic:blipFill>
                  <pic:spPr>
                    <a:xfrm>
                      <a:off x="0" y="0"/>
                      <a:ext cx="3232243" cy="2984795"/>
                    </a:xfrm>
                    <a:prstGeom prst="rect">
                      <a:avLst/>
                    </a:prstGeom>
                    <a:ln>
                      <a:solidFill>
                        <a:schemeClr val="tx1"/>
                      </a:solidFill>
                    </a:ln>
                  </pic:spPr>
                </pic:pic>
              </a:graphicData>
            </a:graphic>
          </wp:inline>
        </w:drawing>
      </w:r>
    </w:p>
    <w:p w14:paraId="5A4E6ACC" w14:textId="77777777" w:rsidR="00C87D21" w:rsidRDefault="00C87D21" w:rsidP="00104ACF"/>
    <w:p w14:paraId="5135CC36" w14:textId="77777777" w:rsidR="00C87D21" w:rsidRDefault="00C87D21" w:rsidP="00104ACF"/>
    <w:p w14:paraId="4BD01956" w14:textId="77777777" w:rsidR="00C87D21" w:rsidRDefault="00C87D21" w:rsidP="00104ACF"/>
    <w:p w14:paraId="54F73413" w14:textId="2E81FCE8" w:rsidR="00104ACF" w:rsidRPr="00E06A06" w:rsidRDefault="00104ACF" w:rsidP="00104ACF">
      <w:pPr>
        <w:rPr>
          <w:b/>
          <w:bCs/>
        </w:rPr>
      </w:pPr>
      <w:r w:rsidRPr="00E06A06">
        <w:rPr>
          <w:b/>
          <w:bCs/>
        </w:rPr>
        <w:lastRenderedPageBreak/>
        <w:t>HubSpot</w:t>
      </w:r>
      <w:r w:rsidR="00C87D21" w:rsidRPr="00E06A06">
        <w:rPr>
          <w:b/>
          <w:bCs/>
        </w:rPr>
        <w:t xml:space="preserve"> Update</w:t>
      </w:r>
    </w:p>
    <w:p w14:paraId="66B88F40" w14:textId="77777777" w:rsidR="00C87D21" w:rsidRDefault="00C87D21" w:rsidP="00104ACF">
      <w:r w:rsidRPr="00C87D21">
        <w:t xml:space="preserve">Enhanced functionality now allows you to choose specific fields for synchronisation with </w:t>
      </w:r>
      <w:proofErr w:type="spellStart"/>
      <w:r w:rsidRPr="00C87D21">
        <w:t>Hubpot</w:t>
      </w:r>
      <w:proofErr w:type="spellEnd"/>
      <w:r w:rsidRPr="00C87D21">
        <w:t xml:space="preserve">. You can do this by selecting your preferences in Company Settings &gt; Integrations &gt; </w:t>
      </w:r>
      <w:proofErr w:type="spellStart"/>
      <w:r w:rsidRPr="00C87D21">
        <w:t>Hubpot</w:t>
      </w:r>
      <w:proofErr w:type="spellEnd"/>
      <w:r w:rsidRPr="00C87D21">
        <w:t>.</w:t>
      </w:r>
    </w:p>
    <w:p w14:paraId="099DFD61" w14:textId="3F101313" w:rsidR="00104ACF" w:rsidRDefault="00104ACF" w:rsidP="00104ACF">
      <w:r>
        <w:rPr>
          <w:noProof/>
        </w:rPr>
        <w:drawing>
          <wp:inline distT="0" distB="0" distL="0" distR="0" wp14:anchorId="4B6A9CFB" wp14:editId="1A243C5D">
            <wp:extent cx="2318918" cy="3198666"/>
            <wp:effectExtent l="19050" t="19050" r="24765" b="20955"/>
            <wp:docPr id="1218134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6575" cy="3209228"/>
                    </a:xfrm>
                    <a:prstGeom prst="rect">
                      <a:avLst/>
                    </a:prstGeom>
                    <a:noFill/>
                    <a:ln>
                      <a:solidFill>
                        <a:schemeClr val="tx1"/>
                      </a:solidFill>
                    </a:ln>
                  </pic:spPr>
                </pic:pic>
              </a:graphicData>
            </a:graphic>
          </wp:inline>
        </w:drawing>
      </w:r>
    </w:p>
    <w:p w14:paraId="15E2DAB5" w14:textId="77777777" w:rsidR="00C87D21" w:rsidRDefault="00C87D21" w:rsidP="00104ACF"/>
    <w:p w14:paraId="4085BE8F" w14:textId="4FB3E6DA" w:rsidR="00FF783C" w:rsidRPr="00E06A06" w:rsidRDefault="00FF783C" w:rsidP="00FF783C">
      <w:pPr>
        <w:rPr>
          <w:b/>
          <w:bCs/>
        </w:rPr>
      </w:pPr>
      <w:r w:rsidRPr="00E06A06">
        <w:rPr>
          <w:b/>
          <w:bCs/>
        </w:rPr>
        <w:t xml:space="preserve">Date </w:t>
      </w:r>
      <w:r w:rsidRPr="00E06A06">
        <w:rPr>
          <w:b/>
          <w:bCs/>
        </w:rPr>
        <w:t xml:space="preserve">Picker and Validation </w:t>
      </w:r>
      <w:r w:rsidR="00E06A06" w:rsidRPr="00E06A06">
        <w:rPr>
          <w:b/>
          <w:bCs/>
        </w:rPr>
        <w:t>(customer</w:t>
      </w:r>
      <w:r w:rsidR="002F0BC7" w:rsidRPr="00E06A06">
        <w:rPr>
          <w:b/>
          <w:bCs/>
        </w:rPr>
        <w:t xml:space="preserve"> user form) </w:t>
      </w:r>
    </w:p>
    <w:p w14:paraId="6A692825" w14:textId="21A8DEE9" w:rsidR="00FF783C" w:rsidRDefault="00FF783C" w:rsidP="00104ACF">
      <w:r w:rsidRPr="00FF783C">
        <w:t>All date sections are now equipped with a date picker and a date range feature to prevent customers from inputting unrealistic dates</w:t>
      </w:r>
      <w:r>
        <w:t>.</w:t>
      </w:r>
    </w:p>
    <w:p w14:paraId="34DCB85A" w14:textId="7E67AD1D" w:rsidR="00C87D21" w:rsidRDefault="00FF783C" w:rsidP="00104ACF">
      <w:r>
        <w:rPr>
          <w:noProof/>
        </w:rPr>
        <w:drawing>
          <wp:inline distT="0" distB="0" distL="0" distR="0" wp14:anchorId="27FA8A1B" wp14:editId="37483FAC">
            <wp:extent cx="3013862" cy="1870800"/>
            <wp:effectExtent l="19050" t="19050" r="15240" b="15240"/>
            <wp:docPr id="15659411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0856" cy="1875142"/>
                    </a:xfrm>
                    <a:prstGeom prst="rect">
                      <a:avLst/>
                    </a:prstGeom>
                    <a:noFill/>
                    <a:ln>
                      <a:solidFill>
                        <a:schemeClr val="tx1"/>
                      </a:solidFill>
                    </a:ln>
                  </pic:spPr>
                </pic:pic>
              </a:graphicData>
            </a:graphic>
          </wp:inline>
        </w:drawing>
      </w:r>
    </w:p>
    <w:p w14:paraId="5DF5A107" w14:textId="77777777" w:rsidR="00FF783C" w:rsidRDefault="00FF783C" w:rsidP="00104ACF"/>
    <w:p w14:paraId="6B7A1D2C" w14:textId="38959804" w:rsidR="00CB53FC" w:rsidRDefault="00FF783C" w:rsidP="00104ACF">
      <w:r w:rsidRPr="00E06A06">
        <w:rPr>
          <w:b/>
          <w:bCs/>
        </w:rPr>
        <w:t>Google Tag Manager</w:t>
      </w:r>
      <w:r w:rsidRPr="00E06A06">
        <w:rPr>
          <w:b/>
          <w:bCs/>
        </w:rPr>
        <w:t xml:space="preserve"> now available</w:t>
      </w:r>
      <w:r>
        <w:t xml:space="preserve"> – please reach out to support to assist in support. </w:t>
      </w:r>
    </w:p>
    <w:p w14:paraId="06D56292" w14:textId="77777777" w:rsidR="00CB53FC" w:rsidRDefault="00CB53FC" w:rsidP="00104ACF"/>
    <w:p w14:paraId="1DB76DB0" w14:textId="77777777" w:rsidR="00CB53FC" w:rsidRDefault="00CB53FC" w:rsidP="00104ACF"/>
    <w:p w14:paraId="5AC8F738" w14:textId="77777777" w:rsidR="00CB53FC" w:rsidRDefault="00CB53FC" w:rsidP="00104ACF"/>
    <w:p w14:paraId="3B74BEBE" w14:textId="77777777" w:rsidR="00FF783C" w:rsidRDefault="00FF783C" w:rsidP="00104ACF"/>
    <w:p w14:paraId="3D96354B" w14:textId="332F5FA3" w:rsidR="00CB53FC" w:rsidRPr="00E06A06" w:rsidRDefault="00CB53FC" w:rsidP="00104ACF">
      <w:pPr>
        <w:rPr>
          <w:b/>
          <w:bCs/>
        </w:rPr>
      </w:pPr>
      <w:r w:rsidRPr="00E06A06">
        <w:rPr>
          <w:b/>
          <w:bCs/>
        </w:rPr>
        <w:lastRenderedPageBreak/>
        <w:t xml:space="preserve">Add new manual Direct Debit &amp; </w:t>
      </w:r>
      <w:r w:rsidRPr="00E06A06">
        <w:rPr>
          <w:b/>
          <w:bCs/>
        </w:rPr>
        <w:t>Disbursement</w:t>
      </w:r>
      <w:r w:rsidRPr="00E06A06">
        <w:rPr>
          <w:b/>
          <w:bCs/>
        </w:rPr>
        <w:t xml:space="preserve"> Account (Merchant Servicing layer) </w:t>
      </w:r>
    </w:p>
    <w:p w14:paraId="72501EFB" w14:textId="41E1DD8B" w:rsidR="00CB53FC" w:rsidRDefault="00CB53FC" w:rsidP="00104ACF">
      <w:r w:rsidRPr="00CB53FC">
        <w:t xml:space="preserve">Merchants now have the capability to add a </w:t>
      </w:r>
      <w:r w:rsidRPr="00CB53FC">
        <w:t>new account</w:t>
      </w:r>
      <w:r w:rsidRPr="00CB53FC">
        <w:t xml:space="preserve"> manual for direct debit that are not verified through the Illion bank statement process. You can access this option in the dropdown menu under 'Select Bank Account'.</w:t>
      </w:r>
    </w:p>
    <w:p w14:paraId="52114247" w14:textId="7200AA00" w:rsidR="00CB53FC" w:rsidRDefault="00CB53FC" w:rsidP="00104ACF">
      <w:r>
        <w:t xml:space="preserve">This option is available </w:t>
      </w:r>
      <w:r w:rsidR="0025602A">
        <w:t>is also available in settlement layer for loan disbursements.</w:t>
      </w:r>
    </w:p>
    <w:p w14:paraId="3CE89EBC" w14:textId="77777777" w:rsidR="00FF783C" w:rsidRDefault="00FF783C" w:rsidP="00104ACF"/>
    <w:p w14:paraId="5363099E" w14:textId="05B641FE" w:rsidR="00CB53FC" w:rsidRDefault="00CB53FC" w:rsidP="00104ACF">
      <w:r>
        <w:rPr>
          <w:noProof/>
        </w:rPr>
        <w:drawing>
          <wp:inline distT="0" distB="0" distL="0" distR="0" wp14:anchorId="6C167517" wp14:editId="0EFBEF9B">
            <wp:extent cx="2562156" cy="3236214"/>
            <wp:effectExtent l="19050" t="19050" r="10160" b="21590"/>
            <wp:docPr id="13999660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9174" cy="3245078"/>
                    </a:xfrm>
                    <a:prstGeom prst="rect">
                      <a:avLst/>
                    </a:prstGeom>
                    <a:noFill/>
                    <a:ln>
                      <a:solidFill>
                        <a:schemeClr val="tx1"/>
                      </a:solidFill>
                    </a:ln>
                  </pic:spPr>
                </pic:pic>
              </a:graphicData>
            </a:graphic>
          </wp:inline>
        </w:drawing>
      </w:r>
    </w:p>
    <w:p w14:paraId="7C38623D" w14:textId="766767DB" w:rsidR="0025602A" w:rsidRDefault="0025602A" w:rsidP="00104ACF">
      <w:r>
        <w:rPr>
          <w:noProof/>
        </w:rPr>
        <w:drawing>
          <wp:inline distT="0" distB="0" distL="0" distR="0" wp14:anchorId="3C5D16DC" wp14:editId="2FFB52C5">
            <wp:extent cx="2541270" cy="2408290"/>
            <wp:effectExtent l="19050" t="19050" r="11430" b="11430"/>
            <wp:docPr id="17730658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967" cy="2419375"/>
                    </a:xfrm>
                    <a:prstGeom prst="rect">
                      <a:avLst/>
                    </a:prstGeom>
                    <a:noFill/>
                    <a:ln>
                      <a:solidFill>
                        <a:schemeClr val="tx1"/>
                      </a:solidFill>
                    </a:ln>
                  </pic:spPr>
                </pic:pic>
              </a:graphicData>
            </a:graphic>
          </wp:inline>
        </w:drawing>
      </w:r>
    </w:p>
    <w:p w14:paraId="02216124" w14:textId="77777777" w:rsidR="00FF783C" w:rsidRDefault="00FF783C" w:rsidP="00104ACF"/>
    <w:p w14:paraId="4E08F1ED" w14:textId="77777777" w:rsidR="00FF783C" w:rsidRDefault="00FF783C" w:rsidP="00104ACF"/>
    <w:p w14:paraId="58ECFA90" w14:textId="77777777" w:rsidR="00FF783C" w:rsidRDefault="00FF783C" w:rsidP="00104ACF"/>
    <w:p w14:paraId="6225CBD6" w14:textId="77777777" w:rsidR="00FF783C" w:rsidRDefault="00FF783C" w:rsidP="00104ACF"/>
    <w:p w14:paraId="1143A368" w14:textId="77777777" w:rsidR="00FF783C" w:rsidRDefault="00FF783C" w:rsidP="00104ACF"/>
    <w:p w14:paraId="4361CF80" w14:textId="17D09DBE" w:rsidR="00D557D9" w:rsidRPr="00E06A06" w:rsidRDefault="00D557D9" w:rsidP="00104ACF">
      <w:pPr>
        <w:rPr>
          <w:b/>
          <w:bCs/>
        </w:rPr>
      </w:pPr>
      <w:r w:rsidRPr="00E06A06">
        <w:rPr>
          <w:b/>
          <w:bCs/>
        </w:rPr>
        <w:lastRenderedPageBreak/>
        <w:t>Notes E</w:t>
      </w:r>
      <w:r w:rsidRPr="00E06A06">
        <w:rPr>
          <w:b/>
          <w:bCs/>
        </w:rPr>
        <w:t>nhanced</w:t>
      </w:r>
      <w:r w:rsidR="002F0BC7" w:rsidRPr="00E06A06">
        <w:rPr>
          <w:b/>
          <w:bCs/>
        </w:rPr>
        <w:t xml:space="preserve"> (application &amp; assessment layer) </w:t>
      </w:r>
    </w:p>
    <w:p w14:paraId="59D18E02" w14:textId="77777777" w:rsidR="00D557D9" w:rsidRDefault="00D557D9" w:rsidP="00D557D9">
      <w:pPr>
        <w:pStyle w:val="NormalWeb"/>
        <w:spacing w:after="0" w:afterAutospacing="0"/>
        <w:rPr>
          <w:rFonts w:asciiTheme="minorHAnsi" w:eastAsiaTheme="minorHAnsi" w:hAnsiTheme="minorHAnsi" w:cstheme="minorBidi"/>
          <w:kern w:val="2"/>
          <w:sz w:val="22"/>
          <w:szCs w:val="22"/>
          <w:lang w:eastAsia="en-US"/>
          <w14:ligatures w14:val="standardContextual"/>
        </w:rPr>
      </w:pPr>
      <w:r w:rsidRPr="00D557D9">
        <w:rPr>
          <w:rFonts w:asciiTheme="minorHAnsi" w:eastAsiaTheme="minorHAnsi" w:hAnsiTheme="minorHAnsi" w:cstheme="minorBidi"/>
          <w:kern w:val="2"/>
          <w:sz w:val="22"/>
          <w:szCs w:val="22"/>
          <w:lang w:eastAsia="en-US"/>
          <w14:ligatures w14:val="standardContextual"/>
        </w:rPr>
        <w:t>The notes section has been enhanced to include the option to add Category and Subject. These details can be added in either the application or assessment layers and will be visible in both layers.</w:t>
      </w:r>
    </w:p>
    <w:p w14:paraId="33124345" w14:textId="5EAB8236" w:rsidR="00D557D9" w:rsidRDefault="00D557D9" w:rsidP="00D557D9">
      <w:pPr>
        <w:pStyle w:val="NormalWeb"/>
        <w:spacing w:after="0" w:afterAutospacing="0"/>
        <w:rPr>
          <w:rFonts w:asciiTheme="minorHAnsi" w:eastAsiaTheme="minorHAnsi" w:hAnsiTheme="minorHAnsi" w:cstheme="minorBidi"/>
          <w:kern w:val="2"/>
          <w:sz w:val="22"/>
          <w:szCs w:val="22"/>
          <w:lang w:eastAsia="en-US"/>
          <w14:ligatures w14:val="standardContextual"/>
        </w:rPr>
      </w:pPr>
      <w:r w:rsidRPr="00D557D9">
        <w:rPr>
          <w:rFonts w:asciiTheme="minorHAnsi" w:eastAsiaTheme="minorHAnsi" w:hAnsiTheme="minorHAnsi" w:cstheme="minorBidi"/>
          <w:kern w:val="2"/>
          <w:sz w:val="22"/>
          <w:szCs w:val="22"/>
          <w:lang w:eastAsia="en-US"/>
          <w14:ligatures w14:val="standardContextual"/>
        </w:rPr>
        <w:t xml:space="preserve">Note Categories </w:t>
      </w:r>
    </w:p>
    <w:p w14:paraId="7F091A56" w14:textId="77777777" w:rsidR="00D557D9" w:rsidRPr="00D557D9" w:rsidRDefault="00D557D9" w:rsidP="00D557D9">
      <w:pPr>
        <w:pStyle w:val="NormalWeb"/>
        <w:spacing w:after="0" w:afterAutospacing="0"/>
        <w:rPr>
          <w:rFonts w:asciiTheme="minorHAnsi" w:eastAsiaTheme="minorHAnsi" w:hAnsiTheme="minorHAnsi" w:cstheme="minorBidi"/>
          <w:kern w:val="2"/>
          <w:sz w:val="22"/>
          <w:szCs w:val="22"/>
          <w:lang w:eastAsia="en-US"/>
          <w14:ligatures w14:val="standardContextual"/>
        </w:rPr>
      </w:pPr>
    </w:p>
    <w:p w14:paraId="091AFBEB" w14:textId="77777777" w:rsidR="00D557D9" w:rsidRPr="00D557D9" w:rsidRDefault="00D557D9" w:rsidP="00D557D9">
      <w:pPr>
        <w:pStyle w:val="NormalWeb"/>
        <w:numPr>
          <w:ilvl w:val="0"/>
          <w:numId w:val="1"/>
        </w:numPr>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D557D9">
        <w:rPr>
          <w:rFonts w:asciiTheme="minorHAnsi" w:eastAsiaTheme="minorHAnsi" w:hAnsiTheme="minorHAnsi" w:cstheme="minorBidi"/>
          <w:kern w:val="2"/>
          <w:sz w:val="22"/>
          <w:szCs w:val="22"/>
          <w:lang w:eastAsia="en-US"/>
          <w14:ligatures w14:val="standardContextual"/>
        </w:rPr>
        <w:t>General</w:t>
      </w:r>
    </w:p>
    <w:p w14:paraId="6B3F1F8A" w14:textId="77777777" w:rsidR="00D557D9" w:rsidRPr="00D557D9" w:rsidRDefault="00D557D9" w:rsidP="00D557D9">
      <w:pPr>
        <w:pStyle w:val="NormalWeb"/>
        <w:numPr>
          <w:ilvl w:val="0"/>
          <w:numId w:val="1"/>
        </w:numPr>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D557D9">
        <w:rPr>
          <w:rFonts w:asciiTheme="minorHAnsi" w:eastAsiaTheme="minorHAnsi" w:hAnsiTheme="minorHAnsi" w:cstheme="minorBidi"/>
          <w:kern w:val="2"/>
          <w:sz w:val="22"/>
          <w:szCs w:val="22"/>
          <w:lang w:eastAsia="en-US"/>
          <w14:ligatures w14:val="standardContextual"/>
        </w:rPr>
        <w:t>Interaction</w:t>
      </w:r>
    </w:p>
    <w:p w14:paraId="6FA9E1AC" w14:textId="77777777" w:rsidR="00D557D9" w:rsidRPr="00D557D9" w:rsidRDefault="00D557D9" w:rsidP="00D557D9">
      <w:pPr>
        <w:pStyle w:val="NormalWeb"/>
        <w:numPr>
          <w:ilvl w:val="0"/>
          <w:numId w:val="1"/>
        </w:numPr>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D557D9">
        <w:rPr>
          <w:rFonts w:asciiTheme="minorHAnsi" w:eastAsiaTheme="minorHAnsi" w:hAnsiTheme="minorHAnsi" w:cstheme="minorBidi"/>
          <w:kern w:val="2"/>
          <w:sz w:val="22"/>
          <w:szCs w:val="22"/>
          <w:lang w:eastAsia="en-US"/>
          <w14:ligatures w14:val="standardContextual"/>
        </w:rPr>
        <w:t>Credit</w:t>
      </w:r>
    </w:p>
    <w:p w14:paraId="63437D17" w14:textId="77777777" w:rsidR="00D557D9" w:rsidRPr="00D557D9" w:rsidRDefault="00D557D9" w:rsidP="00D557D9">
      <w:pPr>
        <w:pStyle w:val="NormalWeb"/>
        <w:numPr>
          <w:ilvl w:val="0"/>
          <w:numId w:val="1"/>
        </w:numPr>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D557D9">
        <w:rPr>
          <w:rFonts w:asciiTheme="minorHAnsi" w:eastAsiaTheme="minorHAnsi" w:hAnsiTheme="minorHAnsi" w:cstheme="minorBidi"/>
          <w:kern w:val="2"/>
          <w:sz w:val="22"/>
          <w:szCs w:val="22"/>
          <w:lang w:eastAsia="en-US"/>
          <w14:ligatures w14:val="standardContextual"/>
        </w:rPr>
        <w:t>Warning</w:t>
      </w:r>
    </w:p>
    <w:p w14:paraId="2F22D411" w14:textId="77777777" w:rsidR="00D557D9" w:rsidRPr="00D557D9" w:rsidRDefault="00D557D9" w:rsidP="00D557D9">
      <w:pPr>
        <w:pStyle w:val="NormalWeb"/>
        <w:numPr>
          <w:ilvl w:val="0"/>
          <w:numId w:val="1"/>
        </w:numPr>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D557D9">
        <w:rPr>
          <w:rFonts w:asciiTheme="minorHAnsi" w:eastAsiaTheme="minorHAnsi" w:hAnsiTheme="minorHAnsi" w:cstheme="minorBidi"/>
          <w:kern w:val="2"/>
          <w:sz w:val="22"/>
          <w:szCs w:val="22"/>
          <w:lang w:eastAsia="en-US"/>
          <w14:ligatures w14:val="standardContextual"/>
        </w:rPr>
        <w:t>Fraud</w:t>
      </w:r>
    </w:p>
    <w:p w14:paraId="662E5B8D" w14:textId="77777777" w:rsidR="00D557D9" w:rsidRPr="00D557D9" w:rsidRDefault="00D557D9" w:rsidP="00D557D9">
      <w:pPr>
        <w:pStyle w:val="NormalWeb"/>
        <w:numPr>
          <w:ilvl w:val="0"/>
          <w:numId w:val="1"/>
        </w:numPr>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D557D9">
        <w:rPr>
          <w:rFonts w:asciiTheme="minorHAnsi" w:eastAsiaTheme="minorHAnsi" w:hAnsiTheme="minorHAnsi" w:cstheme="minorBidi"/>
          <w:kern w:val="2"/>
          <w:sz w:val="22"/>
          <w:szCs w:val="22"/>
          <w:lang w:eastAsia="en-US"/>
          <w14:ligatures w14:val="standardContextual"/>
        </w:rPr>
        <w:t>Dispute</w:t>
      </w:r>
    </w:p>
    <w:p w14:paraId="1B7B2616" w14:textId="77777777" w:rsidR="00D557D9" w:rsidRPr="00D557D9" w:rsidRDefault="00D557D9" w:rsidP="00D557D9">
      <w:pPr>
        <w:pStyle w:val="NormalWeb"/>
        <w:numPr>
          <w:ilvl w:val="0"/>
          <w:numId w:val="1"/>
        </w:numPr>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D557D9">
        <w:rPr>
          <w:rFonts w:asciiTheme="minorHAnsi" w:eastAsiaTheme="minorHAnsi" w:hAnsiTheme="minorHAnsi" w:cstheme="minorBidi"/>
          <w:kern w:val="2"/>
          <w:sz w:val="22"/>
          <w:szCs w:val="22"/>
          <w:lang w:eastAsia="en-US"/>
          <w14:ligatures w14:val="standardContextual"/>
        </w:rPr>
        <w:t>Transaction</w:t>
      </w:r>
    </w:p>
    <w:p w14:paraId="5E70E91D" w14:textId="77777777" w:rsidR="00D557D9" w:rsidRPr="00D557D9" w:rsidRDefault="00D557D9" w:rsidP="00D557D9">
      <w:pPr>
        <w:pStyle w:val="NormalWeb"/>
        <w:numPr>
          <w:ilvl w:val="0"/>
          <w:numId w:val="1"/>
        </w:numPr>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D557D9">
        <w:rPr>
          <w:rFonts w:asciiTheme="minorHAnsi" w:eastAsiaTheme="minorHAnsi" w:hAnsiTheme="minorHAnsi" w:cstheme="minorBidi"/>
          <w:kern w:val="2"/>
          <w:sz w:val="22"/>
          <w:szCs w:val="22"/>
          <w:lang w:eastAsia="en-US"/>
          <w14:ligatures w14:val="standardContextual"/>
        </w:rPr>
        <w:t>Important</w:t>
      </w:r>
    </w:p>
    <w:p w14:paraId="2CABF68C" w14:textId="77777777" w:rsidR="00D557D9" w:rsidRPr="00D557D9" w:rsidRDefault="00D557D9" w:rsidP="00D557D9">
      <w:pPr>
        <w:pStyle w:val="NormalWeb"/>
        <w:numPr>
          <w:ilvl w:val="0"/>
          <w:numId w:val="1"/>
        </w:numPr>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D557D9">
        <w:rPr>
          <w:rFonts w:asciiTheme="minorHAnsi" w:eastAsiaTheme="minorHAnsi" w:hAnsiTheme="minorHAnsi" w:cstheme="minorBidi"/>
          <w:kern w:val="2"/>
          <w:sz w:val="22"/>
          <w:szCs w:val="22"/>
          <w:lang w:eastAsia="en-US"/>
          <w14:ligatures w14:val="standardContextual"/>
        </w:rPr>
        <w:t>Notify Staff</w:t>
      </w:r>
    </w:p>
    <w:p w14:paraId="5C1E19BF" w14:textId="77777777" w:rsidR="00D557D9" w:rsidRPr="00D557D9" w:rsidRDefault="00D557D9" w:rsidP="00D557D9">
      <w:pPr>
        <w:pStyle w:val="NormalWeb"/>
        <w:numPr>
          <w:ilvl w:val="0"/>
          <w:numId w:val="1"/>
        </w:numPr>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D557D9">
        <w:rPr>
          <w:rFonts w:asciiTheme="minorHAnsi" w:eastAsiaTheme="minorHAnsi" w:hAnsiTheme="minorHAnsi" w:cstheme="minorBidi"/>
          <w:kern w:val="2"/>
          <w:sz w:val="22"/>
          <w:szCs w:val="22"/>
          <w:lang w:eastAsia="en-US"/>
          <w14:ligatures w14:val="standardContextual"/>
        </w:rPr>
        <w:t>Notify Customer</w:t>
      </w:r>
    </w:p>
    <w:p w14:paraId="09CE99C5" w14:textId="77777777" w:rsidR="00D557D9" w:rsidRPr="00D557D9" w:rsidRDefault="00D557D9" w:rsidP="00D557D9">
      <w:pPr>
        <w:pStyle w:val="NormalWeb"/>
        <w:numPr>
          <w:ilvl w:val="0"/>
          <w:numId w:val="1"/>
        </w:numPr>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D557D9">
        <w:rPr>
          <w:rFonts w:asciiTheme="minorHAnsi" w:eastAsiaTheme="minorHAnsi" w:hAnsiTheme="minorHAnsi" w:cstheme="minorBidi"/>
          <w:kern w:val="2"/>
          <w:sz w:val="22"/>
          <w:szCs w:val="22"/>
          <w:lang w:eastAsia="en-US"/>
          <w14:ligatures w14:val="standardContextual"/>
        </w:rPr>
        <w:t>Other</w:t>
      </w:r>
    </w:p>
    <w:p w14:paraId="3CAAD2FF" w14:textId="77777777" w:rsidR="00D557D9" w:rsidRDefault="00D557D9" w:rsidP="00104ACF"/>
    <w:p w14:paraId="7183AD67" w14:textId="7023774C" w:rsidR="00D557D9" w:rsidRDefault="00D557D9" w:rsidP="00104ACF">
      <w:r>
        <w:t xml:space="preserve">Note: </w:t>
      </w:r>
      <w:r w:rsidRPr="00D557D9">
        <w:t>When you press the 'Notify Customer/Sales' button, it also automatically generates a corresponding note.</w:t>
      </w:r>
    </w:p>
    <w:p w14:paraId="40C85A56" w14:textId="59D97E30" w:rsidR="00D557D9" w:rsidRDefault="00D557D9" w:rsidP="00104ACF">
      <w:r>
        <w:rPr>
          <w:noProof/>
        </w:rPr>
        <w:drawing>
          <wp:inline distT="0" distB="0" distL="0" distR="0" wp14:anchorId="3BBC083A" wp14:editId="08F2A39B">
            <wp:extent cx="3479953" cy="3182112"/>
            <wp:effectExtent l="19050" t="19050" r="25400" b="18415"/>
            <wp:docPr id="342145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2728" cy="3193793"/>
                    </a:xfrm>
                    <a:prstGeom prst="rect">
                      <a:avLst/>
                    </a:prstGeom>
                    <a:noFill/>
                    <a:ln>
                      <a:solidFill>
                        <a:schemeClr val="tx1"/>
                      </a:solidFill>
                    </a:ln>
                  </pic:spPr>
                </pic:pic>
              </a:graphicData>
            </a:graphic>
          </wp:inline>
        </w:drawing>
      </w:r>
    </w:p>
    <w:p w14:paraId="7C937018" w14:textId="77777777" w:rsidR="002F0BC7" w:rsidRDefault="002F0BC7" w:rsidP="00104ACF"/>
    <w:sectPr w:rsidR="002F0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C467D"/>
    <w:multiLevelType w:val="multilevel"/>
    <w:tmpl w:val="B652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160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FA"/>
    <w:rsid w:val="00104ACF"/>
    <w:rsid w:val="0025602A"/>
    <w:rsid w:val="00276D2D"/>
    <w:rsid w:val="002F0BC7"/>
    <w:rsid w:val="006F0049"/>
    <w:rsid w:val="00A26701"/>
    <w:rsid w:val="00A27802"/>
    <w:rsid w:val="00B149A4"/>
    <w:rsid w:val="00B202FA"/>
    <w:rsid w:val="00C87D21"/>
    <w:rsid w:val="00CB53FC"/>
    <w:rsid w:val="00D557D9"/>
    <w:rsid w:val="00E06A06"/>
    <w:rsid w:val="00FF78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A834"/>
  <w15:chartTrackingRefBased/>
  <w15:docId w15:val="{FEBF5577-4603-4C99-8DD2-7B1E00B9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57D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D55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Nabi</dc:creator>
  <cp:keywords/>
  <dc:description/>
  <cp:lastModifiedBy>Ahmed Nabi</cp:lastModifiedBy>
  <cp:revision>1</cp:revision>
  <dcterms:created xsi:type="dcterms:W3CDTF">2023-08-29T00:07:00Z</dcterms:created>
  <dcterms:modified xsi:type="dcterms:W3CDTF">2023-08-29T01:52:00Z</dcterms:modified>
</cp:coreProperties>
</file>